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560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560695"/>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001"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Johnson Carrie</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FORRESTER RESEARCH,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FORR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78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44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FORRESTER RESEARCH, INC.</w:t>
            </w:r>
          </w:p>
        </w:tc>
        <w:tc>
          <w:tcPr>
            <w:tcW w:w="29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04/01/2026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64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 ACORN PARK DRIVE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387" w:lineRule="exact"/>
        <w:rPr>
          <w:sz w:val="20"/>
          <w:szCs w:val="20"/>
          <w:color w:val="auto"/>
        </w:rPr>
      </w:pPr>
    </w:p>
    <w:p>
      <w:pPr>
        <w:sectPr>
          <w:pgSz w:w="11900" w:h="16838" w:orient="portrait"/>
          <w:cols w:equalWidth="0" w:num="2">
            <w:col w:w="7680" w:space="56"/>
            <w:col w:w="3344"/>
          </w:cols>
          <w:pgMar w:left="460" w:top="216" w:right="359" w:bottom="1001"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20" w:type="dxa"/>
            <w:vAlign w:val="bottom"/>
            <w:gridSpan w:val="7"/>
          </w:tcPr>
          <w:p>
            <w:pPr>
              <w:jc w:val="center"/>
              <w:ind w:right="137"/>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02140</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52"/>
              <w:spacing w:after="0"/>
              <w:rPr>
                <w:sz w:val="20"/>
                <w:szCs w:val="20"/>
                <w:color w:val="auto"/>
              </w:rPr>
            </w:pPr>
            <w:r>
              <w:rPr>
                <w:rFonts w:ascii="Times New Roman" w:cs="Times New Roman" w:eastAsia="Times New Roman" w:hAnsi="Times New Roman"/>
                <w:sz w:val="17"/>
                <w:szCs w:val="17"/>
                <w:color w:val="0000FF"/>
                <w:w w:val="98"/>
              </w:rPr>
              <w:t>04/01/2026</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79"/>
                <w:vertAlign w:val="subscript"/>
              </w:rPr>
              <w:t>M</w:t>
            </w:r>
            <w:r>
              <w:rPr>
                <w:rFonts w:ascii="Times New Roman" w:cs="Times New Roman" w:eastAsia="Times New Roman" w:hAnsi="Times New Roman"/>
                <w:sz w:val="11"/>
                <w:szCs w:val="11"/>
                <w:color w:val="008000"/>
                <w:w w:val="79"/>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14,335</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45,762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52"/>
              <w:spacing w:after="0"/>
              <w:rPr>
                <w:sz w:val="20"/>
                <w:szCs w:val="20"/>
                <w:color w:val="auto"/>
              </w:rPr>
            </w:pPr>
            <w:r>
              <w:rPr>
                <w:rFonts w:ascii="Times New Roman" w:cs="Times New Roman" w:eastAsia="Times New Roman" w:hAnsi="Times New Roman"/>
                <w:sz w:val="17"/>
                <w:szCs w:val="17"/>
                <w:color w:val="0000FF"/>
                <w:w w:val="98"/>
              </w:rPr>
              <w:t>04/01/2026</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5,353</w:t>
            </w:r>
            <w:r>
              <w:rPr>
                <w:rFonts w:ascii="Times New Roman" w:cs="Times New Roman" w:eastAsia="Times New Roman" w:hAnsi="Times New Roman"/>
                <w:sz w:val="21"/>
                <w:szCs w:val="21"/>
                <w:color w:val="008000"/>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5.39</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40,409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59"/>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22"/>
                <w:szCs w:val="22"/>
                <w:color w:val="000000"/>
                <w:w w:val="88"/>
                <w:vertAlign w:val="subscript"/>
              </w:rPr>
              <w:t>$</w:t>
            </w:r>
            <w:r>
              <w:rPr>
                <w:rFonts w:ascii="Times New Roman" w:cs="Times New Roman" w:eastAsia="Times New Roman" w:hAnsi="Times New Roman"/>
                <w:sz w:val="25"/>
                <w:szCs w:val="25"/>
                <w:color w:val="0000FF"/>
                <w:w w:val="88"/>
                <w:vertAlign w:val="subscript"/>
              </w:rPr>
              <w:t>0</w:t>
            </w:r>
            <w:r>
              <w:rPr>
                <w:rFonts w:ascii="Times New Roman" w:cs="Times New Roman" w:eastAsia="Times New Roman" w:hAnsi="Times New Roman"/>
                <w:sz w:val="11"/>
                <w:szCs w:val="11"/>
                <w:color w:val="008000"/>
                <w:w w:val="88"/>
              </w:rPr>
              <w:t>(3)</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6,001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04/01/2026</w:t>
            </w: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jc w:val="center"/>
              <w:ind w:right="416"/>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5"/>
                <w:szCs w:val="5"/>
                <w:color w:val="auto"/>
              </w:rPr>
            </w:pPr>
          </w:p>
        </w:tc>
        <w:tc>
          <w:tcPr>
            <w:tcW w:w="42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6,001</w:t>
            </w: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1" w:lineRule="exact"/>
              <w:rPr>
                <w:sz w:val="20"/>
                <w:szCs w:val="20"/>
                <w:color w:val="auto"/>
              </w:rPr>
            </w:pPr>
            <w:r>
              <w:rPr>
                <w:rFonts w:ascii="Times New Roman" w:cs="Times New Roman" w:eastAsia="Times New Roman" w:hAnsi="Times New Roman"/>
                <w:sz w:val="13"/>
                <w:szCs w:val="13"/>
                <w:color w:val="0000FF"/>
                <w:w w:val="94"/>
              </w:rPr>
              <w:t>12,001</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8,334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04/01/2026</w:t>
            </w: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jc w:val="center"/>
              <w:ind w:right="416"/>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5"/>
                <w:szCs w:val="5"/>
                <w:color w:val="auto"/>
              </w:rPr>
            </w:pPr>
          </w:p>
        </w:tc>
        <w:tc>
          <w:tcPr>
            <w:tcW w:w="42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8,334</w:t>
            </w: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1" w:lineRule="exact"/>
              <w:rPr>
                <w:sz w:val="20"/>
                <w:szCs w:val="20"/>
                <w:color w:val="auto"/>
              </w:rPr>
            </w:pPr>
            <w:r>
              <w:rPr>
                <w:rFonts w:ascii="Times New Roman" w:cs="Times New Roman" w:eastAsia="Times New Roman" w:hAnsi="Times New Roman"/>
                <w:sz w:val="13"/>
                <w:szCs w:val="13"/>
                <w:color w:val="0000FF"/>
                <w:w w:val="94"/>
              </w:rPr>
              <w:t>24,999</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04/01/2026</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ind w:right="396"/>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50,000</w:t>
            </w:r>
          </w:p>
        </w:tc>
        <w:tc>
          <w:tcPr>
            <w:tcW w:w="4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color w:val="0000FF"/>
                <w:w w:val="94"/>
              </w:rPr>
              <w:t>50,000</w:t>
            </w:r>
          </w:p>
        </w:tc>
        <w:tc>
          <w:tcPr>
            <w:tcW w:w="260" w:type="dxa"/>
            <w:vAlign w:val="bottom"/>
          </w:tcPr>
          <w:p>
            <w:pPr>
              <w:spacing w:after="0"/>
              <w:rPr>
                <w:sz w:val="11"/>
                <w:szCs w:val="11"/>
                <w:color w:val="auto"/>
              </w:rPr>
            </w:pP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-2524125</wp:posOffset>
            </wp:positionV>
            <wp:extent cx="29210" cy="2529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2984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conversion, upon vesting, of restricted stock units into common stock.</w:t>
      </w:r>
    </w:p>
    <w:p>
      <w:pPr>
        <w:spacing w:after="0" w:line="41" w:lineRule="exact"/>
        <w:rPr>
          <w:rFonts w:ascii="Times New Roman" w:cs="Times New Roman" w:eastAsia="Times New Roman" w:hAnsi="Times New Roman"/>
          <w:sz w:val="13"/>
          <w:szCs w:val="13"/>
          <w:color w:val="008000"/>
        </w:rPr>
      </w:pPr>
    </w:p>
    <w:p>
      <w:pPr>
        <w:ind w:left="40" w:right="24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tax withholding obligations upon the vesting on April 1, 2026 of the restricted stock units awarded to the reporting person on April 1, 2024 and April 1, 2025. The awards include a provision for the withholding of shares by the Issuer to satisfy withholding taxes due as a result of the vesting of the awards.</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following vesting, one share of Forrester Research, Inc. common stock.</w:t>
      </w:r>
    </w:p>
    <w:p>
      <w:pPr>
        <w:spacing w:after="0" w:line="41" w:lineRule="exact"/>
        <w:rPr>
          <w:rFonts w:ascii="Times New Roman" w:cs="Times New Roman" w:eastAsia="Times New Roman" w:hAnsi="Times New Roman"/>
          <w:sz w:val="13"/>
          <w:szCs w:val="13"/>
          <w:color w:val="008000"/>
        </w:rPr>
      </w:pPr>
    </w:p>
    <w:p>
      <w:pPr>
        <w:ind w:left="40" w:right="3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 2024, the reporting person was granted 24,003 Restricted Stock Units that vest and convert into common stock in four equal and consecutive installments beginning on the first anniversary of the grant date.</w:t>
      </w:r>
    </w:p>
    <w:p>
      <w:pPr>
        <w:spacing w:after="0" w:line="19" w:lineRule="exact"/>
        <w:rPr>
          <w:rFonts w:ascii="Times New Roman" w:cs="Times New Roman" w:eastAsia="Times New Roman" w:hAnsi="Times New Roman"/>
          <w:sz w:val="13"/>
          <w:szCs w:val="13"/>
          <w:color w:val="008000"/>
        </w:rPr>
      </w:pPr>
    </w:p>
    <w:p>
      <w:pPr>
        <w:ind w:left="40" w:right="3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 2025, the reporting person was granted 33,333 Restricted Stock Units that vest and convert into common stock in four equal and consecutive installments beginning on the first anniversary of the grant date.</w:t>
      </w:r>
    </w:p>
    <w:p>
      <w:pPr>
        <w:spacing w:after="0" w:line="19" w:lineRule="exact"/>
        <w:rPr>
          <w:rFonts w:ascii="Times New Roman" w:cs="Times New Roman" w:eastAsia="Times New Roman" w:hAnsi="Times New Roman"/>
          <w:sz w:val="13"/>
          <w:szCs w:val="13"/>
          <w:color w:val="008000"/>
        </w:rPr>
      </w:pPr>
    </w:p>
    <w:p>
      <w:pPr>
        <w:ind w:left="40" w:right="3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 2026, the reporting person was granted 50,000 Restricted Stock Units that vest and convert into common stock in four equal and consecutive installments beginning on the first anniversary of the grant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Maite Garcia, attorney-in-fact</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04/02/2026</w:t>
            </w:r>
          </w:p>
        </w:tc>
        <w:tc>
          <w:tcPr>
            <w:tcW w:w="0" w:type="dxa"/>
            <w:vAlign w:val="bottom"/>
          </w:tcPr>
          <w:p>
            <w:pPr>
              <w:spacing w:after="0"/>
              <w:rPr>
                <w:sz w:val="1"/>
                <w:szCs w:val="1"/>
                <w:color w:val="auto"/>
              </w:rPr>
            </w:pPr>
          </w:p>
        </w:tc>
      </w:tr>
      <w:tr>
        <w:trPr>
          <w:trHeight w:val="87"/>
        </w:trPr>
        <w:tc>
          <w:tcPr>
            <w:tcW w:w="1240" w:type="dxa"/>
            <w:vAlign w:val="bottom"/>
            <w:tcBorders>
              <w:top w:val="single" w:sz="8" w:color="auto"/>
              <w:bottom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for Carrie Johnson</w:t>
            </w:r>
          </w:p>
        </w:tc>
        <w:tc>
          <w:tcPr>
            <w:tcW w:w="74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240" w:type="dxa"/>
            <w:vAlign w:val="bottom"/>
            <w:tcBorders>
              <w:bottom w:val="single" w:sz="8" w:color="auto"/>
            </w:tcBorders>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6940" TargetMode="External"/><Relationship Id="rId14" Type="http://schemas.openxmlformats.org/officeDocument/2006/relationships/hyperlink" Target="http://www.sec.gov/cgi-bin/browse-edgar?action=getcompany&amp;CIK=00010233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2026-04-02T15:45:28Z</dcterms:created>
  <dcterms:modified xsi:type="dcterms:W3CDTF">2026-04-02T15:45:28Z</dcterms:modified>
</cp:coreProperties>
</file>