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FORRESTER RESEARCH,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000-21433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04-2797789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60 Acorn Park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617 613-6000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212529"/>
        </w:rPr>
        <w:t>The information contained in this current report on Form 8-K is furnished pursuant to Item 2.02 of Form 8-K “Results of Operations and Financial Condition”. This information and the exhibits hereto are being furnished and shall not be deemed to be “filed” for the purposes of Section 18 of, or otherwise regarded as filed under, the Securities Exchange Act of 1934, as amended. The information contained in this report shall not be incorporated by reference into any filing of Forrester Research, Inc. with the SEC, whether made before or after the date hereof, regardless of any general incorporation language in such filings.</w:t>
      </w:r>
    </w:p>
    <w:p>
      <w:pPr>
        <w:spacing w:after="0" w:line="75" w:lineRule="exact"/>
        <w:rPr>
          <w:sz w:val="20"/>
          <w:szCs w:val="20"/>
          <w:color w:val="auto"/>
        </w:rPr>
      </w:pPr>
    </w:p>
    <w:p>
      <w:pPr>
        <w:ind w:left="460" w:right="480"/>
        <w:spacing w:after="0" w:line="342" w:lineRule="auto"/>
        <w:rPr>
          <w:sz w:val="20"/>
          <w:szCs w:val="20"/>
          <w:color w:val="auto"/>
        </w:rPr>
      </w:pPr>
      <w:r>
        <w:rPr>
          <w:rFonts w:ascii="Times New Roman" w:cs="Times New Roman" w:eastAsia="Times New Roman" w:hAnsi="Times New Roman"/>
          <w:sz w:val="17"/>
          <w:szCs w:val="17"/>
          <w:color w:val="212529"/>
        </w:rPr>
        <w:t>On October 29, 2026, Forrester Research, Inc. issued a press release announcing its financial results for the quarter ended September 30, 2026. Forrester believes that adjusted financial results provide investors with consistent and comparable information to aid in the understanding of</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212529"/>
        </w:rPr>
        <w:t>Forrester’s ongoing business. Forrester uses adjusted financial information to manage its business, including use of adjusted financial results as the basis for setting targets for various compensation programs. Our adjusted presentation excludes the following, as well as their related tax effects:</w:t>
      </w:r>
    </w:p>
    <w:p>
      <w:pPr>
        <w:spacing w:after="0" w:line="73"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212529"/>
        </w:rPr>
        <w:t>Amortization of intangibles—we exclude the effect of the amortization of acquisition-related intangible assets from our adjusted results in order to more consistently present our ongoing results of operations.</w:t>
      </w:r>
    </w:p>
    <w:p>
      <w:pPr>
        <w:spacing w:after="0" w:line="54"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212529"/>
        </w:rPr>
        <w:t>Gains and losses from investments—we have consistently excluded both gains and losses related to our investment in non-marketable securities from our adjusted results in order to keep quarter-over-quarter and year-over-year comparisons consistent.</w:t>
      </w:r>
    </w:p>
    <w:p>
      <w:pPr>
        <w:spacing w:after="0" w:line="54"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212529"/>
        </w:rPr>
        <w:t>Credit loss expense—we have excluded the credit loss expense on the promissory note received from the sale of a product line in 2024 from our adjusted results in order to keep quarter-over-quarter and year-over-year comparisons consistent.</w:t>
      </w:r>
    </w:p>
    <w:p>
      <w:pPr>
        <w:spacing w:after="0" w:line="54" w:lineRule="exact"/>
        <w:rPr>
          <w:sz w:val="20"/>
          <w:szCs w:val="20"/>
          <w:color w:val="auto"/>
        </w:rPr>
      </w:pPr>
    </w:p>
    <w:p>
      <w:pPr>
        <w:jc w:val="both"/>
        <w:ind w:right="140" w:firstLine="449"/>
        <w:spacing w:after="0" w:line="282" w:lineRule="auto"/>
        <w:rPr>
          <w:sz w:val="20"/>
          <w:szCs w:val="20"/>
          <w:color w:val="auto"/>
        </w:rPr>
      </w:pPr>
      <w:r>
        <w:rPr>
          <w:rFonts w:ascii="Times New Roman" w:cs="Times New Roman" w:eastAsia="Times New Roman" w:hAnsi="Times New Roman"/>
          <w:sz w:val="18"/>
          <w:szCs w:val="18"/>
          <w:color w:val="212529"/>
        </w:rPr>
        <w:t>Goodwill impairment—we exclude goodwill impairment charges from our adjusted results in order to keep quarter-over-quarter and year-over-year comparisons consistent.</w:t>
      </w:r>
    </w:p>
    <w:p>
      <w:pPr>
        <w:spacing w:after="0" w:line="54"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212529"/>
        </w:rPr>
        <w:t>Stock-based compensation expense—we exclude stock-based compensation from our adjusted results in order to keep quarter-over-quarter and year-over-year comparisons consistent.</w:t>
      </w:r>
    </w:p>
    <w:p>
      <w:pPr>
        <w:spacing w:after="0" w:line="54" w:lineRule="exact"/>
        <w:rPr>
          <w:sz w:val="20"/>
          <w:szCs w:val="20"/>
          <w:color w:val="auto"/>
        </w:rPr>
      </w:pPr>
    </w:p>
    <w:p>
      <w:pPr>
        <w:ind w:right="720" w:firstLine="449"/>
        <w:spacing w:after="0" w:line="312" w:lineRule="auto"/>
        <w:rPr>
          <w:sz w:val="20"/>
          <w:szCs w:val="20"/>
          <w:color w:val="auto"/>
        </w:rPr>
      </w:pPr>
      <w:r>
        <w:rPr>
          <w:rFonts w:ascii="Times New Roman" w:cs="Times New Roman" w:eastAsia="Times New Roman" w:hAnsi="Times New Roman"/>
          <w:sz w:val="17"/>
          <w:szCs w:val="17"/>
          <w:color w:val="212529"/>
        </w:rPr>
        <w:t>Restructuring costs—we exclude costs associated with the Company’s reductions in force and asset impairment charges associated with the Company’s reductions in office space from our adjusted results in order to keep quarter-over-quarter and year-over-year comparisons consistent.</w:t>
      </w:r>
    </w:p>
    <w:p>
      <w:pPr>
        <w:spacing w:after="0" w:line="32"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212529"/>
        </w:rPr>
        <w:t>However, these measures should be considered in addition to, not as a substitute for, or superior to, operating income or other measures of financial performance prepared in accordance with generally accepted accounting principles as more fully discussed in our financial statements and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60" w:hanging="262"/>
        <w:spacing w:after="0"/>
        <w:tabs>
          <w:tab w:leader="none" w:pos="36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u w:val="single" w:color="auto"/>
          <w:color w:val="212529"/>
        </w:rPr>
        <w:t>Exhibits</w:t>
      </w:r>
    </w:p>
    <w:p>
      <w:pPr>
        <w:spacing w:after="0" w:line="225"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212529"/>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29, 2026 with respect to financial results for the quarter ended September 30, 2026</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511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11115" cy="8255"/>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212529"/>
        </w:rPr>
        <w:t>104</w:t>
      </w:r>
      <w:r>
        <w:rPr>
          <w:sz w:val="20"/>
          <w:szCs w:val="20"/>
          <w:color w:val="auto"/>
        </w:rPr>
        <w:tab/>
      </w:r>
      <w:r>
        <w:rPr>
          <w:rFonts w:ascii="Times New Roman" w:cs="Times New Roman" w:eastAsia="Times New Roman" w:hAnsi="Times New Roman"/>
          <w:sz w:val="18"/>
          <w:szCs w:val="18"/>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color w:val="auto"/>
        </w:rPr>
        <w:t>By:</w:t>
        <w:tab/>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Christian Finn,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Reports 2026 Third-Quarter Financial Results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CAMBRIDGE, Mass., October 29, 2026 </w:t>
      </w:r>
      <w:r>
        <w:rPr>
          <w:rFonts w:ascii="Times New Roman" w:cs="Times New Roman" w:eastAsia="Times New Roman" w:hAnsi="Times New Roman"/>
          <w:sz w:val="18"/>
          <w:szCs w:val="18"/>
          <w:color w:val="auto"/>
        </w:rPr>
        <w:t>— Forrester Research, Inc. (Nasdaq: FORR) today announced financial results for the third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with contract value at $281.9 million, down 3.5% compared with the prior year.</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continue to see stabilization of the business, with results above consensus, a strong stock buyback program, and prudent expense management,” said CEO and Chairman George F. Colony. “As a result, we are raising the low end of our guidance for 2026 earnings per share.</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AI focus is deliberate and intentional, and we continue to advance our product roadmap, delivering new AI capabilities. This quarter, we unveiled a robust portfolio of new products including AI Access Plus, Team Solutions, and an integration with Claude. These offerings give our clients greater flexibility in how they access our research and insights to make better decisions faster. We believe these enhancements will help deliver improved results for the remainder of the year and into next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Third-Quarter 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for the third quarter of 2026 were $86.1 million, compared with $94.3 million for the comparable quarter in 2025.</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 GAAP basis, net loss was $4.4 million, or $0.23 per diluted share, for the third quarter of 2026, compared with a net loss of $2.1 million, or $0.11 per diluted share, for the same period in 2025.</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an adjusted basis, net income was $4.7 million, or $0.24 per diluted share, for the third quarter of 2026, reflecting an adjusted effective tax rate of 29%. Adjusted net income excludes stock-based compensation of $2.6 million, amortization of acquisition-related intangible assets of $2.1 million, and a restructuring credit of $0.5 million. This compares with adjusted net income of $7.2 million, or $0.37 per diluted share, for the same period in 2025, which reflects an adjusted tax rate of 29%. Adjusted net income for the third quarter of 2025 excludes stock-based compensation of $3.4 million, amortization of acquisition-related intangible assets of $2.2 million, a restructuring credit of $0.1 million, and a credit loss on the note receivable from the divestiture of a product line in 2024 of $6.4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key metrics can be found in the investor presentation on the investor relations section of the company’s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GAAP results to adjusted results may be found in the attached financial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Forrester is providing guidance for 2026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Full-Year 2026 (GAAP):</w:t>
      </w:r>
    </w:p>
    <w:p>
      <w:pPr>
        <w:spacing w:after="0" w:line="2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approximately $350.0 million to $360.0 million, or a decline of 11.8% to 9.3% versus the prior year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approximately negative 3.3% to negative 2.8%</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of approximately $2.2 million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tax rate of negative 20% to negative 10%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share of approximately $0.79 to $0.74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Full-Year 2026 (Adjusted):</w:t>
      </w:r>
    </w:p>
    <w:p>
      <w:pPr>
        <w:spacing w:after="0" w:line="29"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Adjusted financial guidance for full-year 2026 excludes the goodwill impairment charge of $10.8 million, stock-based compensation expense of $10.0 million to $11.0 million, amortization of acquisition-related intangible assets of approximately $8.3 million, restructuring costs of approximately $3.7 million, a credit loss on the note receivable from the divestiture of a product line in 2024 of $0.9 million, and any investment gains or losses.</w:t>
      </w:r>
    </w:p>
    <w:p>
      <w:pPr>
        <w:spacing w:after="0" w:line="186"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of approximately 6.0% to 6.5%</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effective tax rate of 29%</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approximately $0.77 to $0.82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Forrester</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Forrester (Nasdaq: FORR) is one of the most influential research and advisory firms in the world. We empower leaders in technology, customer experience, digital, marketing, revenue, and product functions to make confident decisions in an AI-driven world and accelerate growth through customer obsession. Our unique research and continuous guidance model helps executives and their teams achieve their initiatives and outcomes faster and with confidence. To learn more, visit Forrester.com.</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statements include, but are not limited to, Forrester’s financial guidance for the full-year 2026, statements relating to Forrester’s AI capabilities and product portfolio, and statements regarding Forrester’s future financial performance and financial condition. These statements are based on Forrester’s current plans and expectations and involve risks and uncertainties that could cause actual future activities and results of operations to be materially different from those set forth in the forward-looking statements. Important factors that could cause actual future activities and results to differ include, among others, Forrester’s ability to retain and enrich memberships for its research products and services; Forrester’s ability to fulfill existing or generate new consulting engagements and advisory services; any adverse economic conditions, including from trade policies and tariffs, that result in a reduction in technology spending or demand for Forrester’s products or services; the risks and challenges inherent in international business activities; the use of generative AI in Forrester’s business and by Forrester’s clients and competitors; Forrester’s ability to offer new products and services; Forrester’s dependence on key personnel; Forrester’s ability to attract and retain professional staff; Forrester’s ability to respond to business and economic conditions and market trends; Forrester’s business with the US government; the impact of Forrester’s outstanding debt obligations; competition and industry consolidation; possible variations in Forrester’s quarterly operating results; the actual cost of capital expenditures that Forrester undertakes; concentration of ownership of Forrester; the possibility of network disruptions and security breaches; any failure to enforce and protect Forrester’s intellectual property rights; compliance with privacy laws; taxation risks; any weakness in Forrester’s system of internal controls; and any future impairment charge Forrester incurs. Forrester undertakes no obligation to update publicly any forward-looking statements, whether as a result of new information, future events, or otherwise. For further information, please refer to Forrester’s reports and filings with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statements of operations and the table of key financial data are attached.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Bryce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Development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+1 617-613-6565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ebrycemorris@forrester.com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Shweta Agarwal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+1 617-613-6805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sagarwal@forrester.com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 Forrester Research, Inc. All rights reserved. Forrester is a trademark of Forrester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2884805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160" w:type="dxa"/>
            <w:vAlign w:val="bottom"/>
          </w:tcPr>
          <w:p>
            <w:pPr>
              <w:spacing w:after="0"/>
              <w:rPr>
                <w:sz w:val="18"/>
                <w:szCs w:val="18"/>
                <w:color w:val="auto"/>
              </w:rPr>
            </w:pPr>
          </w:p>
        </w:tc>
        <w:tc>
          <w:tcPr>
            <w:tcW w:w="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72,652</w:t>
            </w:r>
          </w:p>
        </w:tc>
        <w:tc>
          <w:tcPr>
            <w:tcW w:w="1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208,736</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218,992</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Consulting</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21,475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66,404</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20" w:type="dxa"/>
            <w:vAlign w:val="bottom"/>
          </w:tcPr>
          <w:p>
            <w:pPr>
              <w:spacing w:after="0"/>
              <w:rPr>
                <w:sz w:val="18"/>
                <w:szCs w:val="18"/>
                <w:color w:val="auto"/>
              </w:rPr>
            </w:pPr>
          </w:p>
        </w:tc>
      </w:tr>
      <w:tr>
        <w:trPr>
          <w:trHeight w:val="209"/>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94,295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37,711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126,966</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36,011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109,031</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12,478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 (credits)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shd w:val="clear" w:color="auto" w:fill="CFF0FC"/>
          </w:tcPr>
          <w:p>
            <w:pPr>
              <w:spacing w:after="0"/>
              <w:rPr>
                <w:sz w:val="18"/>
                <w:szCs w:val="18"/>
                <w:color w:val="auto"/>
              </w:rPr>
            </w:pPr>
          </w:p>
        </w:tc>
      </w:tr>
      <w:tr>
        <w:trPr>
          <w:trHeight w:val="209"/>
        </w:trPr>
        <w:tc>
          <w:tcPr>
            <w:tcW w:w="49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89,838</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284,645</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372,008</w:t>
            </w:r>
          </w:p>
        </w:tc>
        <w:tc>
          <w:tcPr>
            <w:tcW w:w="120" w:type="dxa"/>
            <w:vAlign w:val="bottom"/>
            <w:tcBorders>
              <w:top w:val="single" w:sz="8" w:color="CFF0FC"/>
            </w:tcBorders>
          </w:tcPr>
          <w:p>
            <w:pPr>
              <w:spacing w:after="0"/>
              <w:rPr>
                <w:sz w:val="18"/>
                <w:szCs w:val="18"/>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(76,178)</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investments, net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loss expense on note receivable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(7,310)</w:t>
            </w: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(82,875)</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shd w:val="clear" w:color="auto" w:fill="CFF0FC"/>
          </w:tcPr>
          <w:p>
            <w:pPr>
              <w:spacing w:after="0"/>
              <w:rPr>
                <w:sz w:val="18"/>
                <w:szCs w:val="18"/>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(4,421)</w:t>
            </w:r>
          </w:p>
        </w:tc>
        <w:tc>
          <w:tcPr>
            <w:tcW w:w="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(85,485)</w:t>
            </w: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9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4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900" w:type="dxa"/>
            <w:vAlign w:val="bottom"/>
            <w:gridSpan w:val="2"/>
          </w:tcPr>
          <w:p>
            <w:pPr>
              <w:jc w:val="right"/>
              <w:ind w:right="7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580" w:type="dxa"/>
            <w:vAlign w:val="bottom"/>
            <w:gridSpan w:val="2"/>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(4.49)</w:t>
            </w: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9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18,916</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19,113</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19,130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19,022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7"/>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19,113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19,022</w:t>
            </w:r>
          </w:p>
        </w:tc>
        <w:tc>
          <w:tcPr>
            <w:tcW w:w="12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data (1):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Income (loss) from operations - GAAP</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(12,851)</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(76,178)</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costs (credits)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included in the</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following expense categories: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8"/>
                <w:szCs w:val="18"/>
                <w:color w:val="auto"/>
              </w:rPr>
            </w:pPr>
          </w:p>
        </w:tc>
      </w:tr>
      <w:tr>
        <w:trPr>
          <w:trHeight w:val="21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60" w:type="dxa"/>
            <w:vAlign w:val="bottom"/>
          </w:tcPr>
          <w:p>
            <w:pPr>
              <w:spacing w:after="0"/>
              <w:rPr>
                <w:sz w:val="18"/>
                <w:szCs w:val="18"/>
                <w:color w:val="auto"/>
              </w:rPr>
            </w:pPr>
          </w:p>
        </w:tc>
        <w:tc>
          <w:tcPr>
            <w:tcW w:w="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1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60"/>
        </w:trPr>
        <w:tc>
          <w:tcPr>
            <w:tcW w:w="4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-5502910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-5502910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-5502910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-5502910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-4396740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-4396740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-4396740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-4396740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-3556635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-3556635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-3556635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-3556635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-3274060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-3274060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-3274060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-3274060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-2828290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-2811145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-2828290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-2811145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-2828290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-2811145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-2828290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-2502535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-2485390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-2502535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-2485390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-2502535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-2485390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-805180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-805180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-805180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113"/>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1"/>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3"/>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0"/>
                <w:szCs w:val="10"/>
                <w:color w:val="auto"/>
              </w:rPr>
            </w:pPr>
          </w:p>
        </w:tc>
        <w:tc>
          <w:tcPr>
            <w:tcW w:w="380" w:type="dxa"/>
            <w:vAlign w:val="bottom"/>
          </w:tcPr>
          <w:p>
            <w:pPr>
              <w:jc w:val="right"/>
              <w:ind w:right="92"/>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91"/>
        </w:trPr>
        <w:tc>
          <w:tcPr>
            <w:tcW w:w="39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 GAAP</w:t>
            </w:r>
          </w:p>
        </w:tc>
        <w:tc>
          <w:tcPr>
            <w:tcW w:w="1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vMerge w:val="continue"/>
            <w:shd w:val="clear" w:color="auto" w:fill="CFF0FC"/>
          </w:tcPr>
          <w:p>
            <w:pPr>
              <w:spacing w:after="0"/>
              <w:rPr>
                <w:sz w:val="20"/>
                <w:szCs w:val="20"/>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(10,993)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(85,485)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on GAAP net loss of diluted 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costs (credits)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Credit loss expense</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Losses on 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effects of items above (2)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(4,862)</w:t>
            </w:r>
          </w:p>
        </w:tc>
        <w:tc>
          <w:tcPr>
            <w:tcW w:w="1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to tax expense for adjusted tax rate (3)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2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19,456</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19,311</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19,332</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19,124</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-187960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-170815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-187960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60" w:hanging="2"/>
        <w:spacing w:after="0" w:line="253" w:lineRule="auto"/>
        <w:tabs>
          <w:tab w:leader="none" w:pos="5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Forrester believes that adjusted financial results provide investors with consistent and comparable information to aid in the understanding of Forrester's ongoing business, and are also used by Forrester in making compensation decisions. Our adjusted presentation excludes amortization of acquisition-related intangible assets, stock-based compensation, restructuring costs, goodwill impairment charges, credit losses on a promissory note from the sale of a product line in 2024, and net gains or losses from investments, as well as their related tax effects. We also utilized an assumed tax rate of 29% in 2026 and 2025, which excludes items such as the effect of any adjustments related to the filing of prior-year tax returns. The adjusted data does not purport to be prepared in accordance with Generally Accepted Accounting Principles in the United States.</w:t>
      </w:r>
    </w:p>
    <w:p>
      <w:pPr>
        <w:spacing w:after="0" w:line="5" w:lineRule="exact"/>
        <w:rPr>
          <w:rFonts w:ascii="Times New Roman" w:cs="Times New Roman" w:eastAsia="Times New Roman" w:hAnsi="Times New Roman"/>
          <w:sz w:val="18"/>
          <w:szCs w:val="18"/>
          <w:color w:val="auto"/>
        </w:rPr>
      </w:pPr>
    </w:p>
    <w:p>
      <w:pPr>
        <w:ind w:left="500" w:hanging="34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adjusting items is based on the accounting treatment and rate for the jurisdiction of each item.</w:t>
      </w:r>
    </w:p>
    <w:p>
      <w:pPr>
        <w:spacing w:after="0" w:line="9" w:lineRule="exact"/>
        <w:rPr>
          <w:rFonts w:ascii="Times New Roman" w:cs="Times New Roman" w:eastAsia="Times New Roman" w:hAnsi="Times New Roman"/>
          <w:sz w:val="18"/>
          <w:szCs w:val="18"/>
          <w:color w:val="auto"/>
        </w:rPr>
      </w:pPr>
    </w:p>
    <w:p>
      <w:pPr>
        <w:ind w:left="500" w:hanging="34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compute adjusted net income, we apply an adjusted effective tax rate of 29% in 2026 and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marketable investments</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117,611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135,049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Debt outstanding</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8"/>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33,408</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5"/>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(24,771)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6"/>
        </w:trPr>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debt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5"/>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(11,294)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434"/>
        </w:trPr>
        <w:tc>
          <w:tcPr>
            <w:tcW w:w="7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89"/>
              </w:rPr>
              <w:t>(a)</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value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292,200</w:t>
            </w:r>
          </w:p>
        </w:tc>
        <w:tc>
          <w:tcPr>
            <w:tcW w:w="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Client retention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Wallet retention</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clients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1"/>
        </w:trPr>
        <w:tc>
          <w:tcPr>
            <w:tcW w:w="7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7" w:name="page8"/>
    <w:bookmarkEnd w:id="7"/>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10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headcount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force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September 30, 2025 amounts have been recast based on 2026 foreign currency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2026-10-29T15:22:04Z</dcterms:created>
  <dcterms:modified xsi:type="dcterms:W3CDTF">2026-10-29T15:22:04Z</dcterms:modified>
</cp:coreProperties>
</file>