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500"/>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jc w:val="center"/>
        <w:ind w:right="-1120"/>
        <w:spacing w:after="0" w:line="230" w:lineRule="auto"/>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jc w:val="center"/>
        <w:ind w:right="-1120"/>
        <w:spacing w:after="0" w:line="229" w:lineRule="auto"/>
        <w:rPr>
          <w:sz w:val="20"/>
          <w:szCs w:val="20"/>
          <w:color w:val="auto"/>
        </w:rPr>
      </w:pPr>
      <w:r>
        <w:rPr>
          <w:rFonts w:ascii="Times New Roman" w:cs="Times New Roman" w:eastAsia="Times New Roman" w:hAnsi="Times New Roman"/>
          <w:sz w:val="22"/>
          <w:szCs w:val="22"/>
          <w:color w:val="auto"/>
        </w:rPr>
        <w:t>Exchange Act of 1934 (Amendment No.)</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Forrester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3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2456180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1663065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1680210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3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t>Forrester Research,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60 Acorn Park Drive</w:t>
      </w:r>
    </w:p>
    <w:p>
      <w:pPr>
        <w:jc w:val="center"/>
        <w:spacing w:after="0"/>
        <w:rPr>
          <w:sz w:val="20"/>
          <w:szCs w:val="20"/>
          <w:color w:val="auto"/>
        </w:rPr>
      </w:pPr>
      <w:r>
        <w:rPr>
          <w:rFonts w:ascii="Times New Roman" w:cs="Times New Roman" w:eastAsia="Times New Roman" w:hAnsi="Times New Roman"/>
          <w:sz w:val="22"/>
          <w:szCs w:val="22"/>
          <w:b w:val="1"/>
          <w:bCs w:val="1"/>
          <w:color w:val="auto"/>
        </w:rPr>
        <w:t>Cambridge, Massachusetts 02140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F. Colony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Chief Executive Officer</w:t>
      </w:r>
    </w:p>
    <w:p>
      <w:pPr>
        <w:spacing w:after="0" w:line="20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2026 Annual Meeting of Stockholders of Forrester Research, Inc., which will be held on Tuesday, May 12, 2026 at 10:00 a.m. Eastern Daylight Time. The Annual Meeting will be a virtual stockholder meeting, conducted via live audio webcast, through which you can submit questions and vote online. You may attend the meeting by visiting </w:t>
      </w:r>
      <w:r>
        <w:rPr>
          <w:rFonts w:ascii="Times New Roman" w:cs="Times New Roman" w:eastAsia="Times New Roman" w:hAnsi="Times New Roman"/>
          <w:sz w:val="18"/>
          <w:szCs w:val="18"/>
          <w:u w:val="single" w:color="auto"/>
          <w:color w:val="auto"/>
        </w:rPr>
        <w:t>www.virtualshareholdermeeting.com/FORR2026</w:t>
      </w:r>
      <w:r>
        <w:rPr>
          <w:rFonts w:ascii="Times New Roman" w:cs="Times New Roman" w:eastAsia="Times New Roman" w:hAnsi="Times New Roman"/>
          <w:sz w:val="18"/>
          <w:szCs w:val="18"/>
          <w:color w:val="auto"/>
        </w:rPr>
        <w:t xml:space="preserve"> and entering your 16-digit control number included with these proxy materials.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the following pages, you will find the formal notice of the Annual Meeting and our proxy statement. At the Annual Meeting you are being asked to elect six Directors, to approve an amendment and restatement of our Employee Stock Purchase Plan to increase the number of shares available for purchase under the plan, to ratify the selection of PricewaterhouseCoopers LLP as our independent registered public accounting firm for the fiscal year ending December 31, 2026, and to approve by non-binding vote our executive compensation.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hope that many of you will be able to attend. Thank you for your continued support and investment in Forrester.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154305</wp:posOffset>
            </wp:positionV>
            <wp:extent cx="106299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eorge</w:t>
      </w:r>
      <w:r>
        <w:rPr>
          <w:rFonts w:ascii="Times New Roman" w:cs="Times New Roman" w:eastAsia="Times New Roman" w:hAnsi="Times New Roman"/>
          <w:sz w:val="18"/>
          <w:szCs w:val="18"/>
          <w:color w:val="auto"/>
        </w:rPr>
        <w:t xml:space="preserve"> F. C</w:t>
      </w:r>
      <w:r>
        <w:rPr>
          <w:rFonts w:ascii="Times New Roman" w:cs="Times New Roman" w:eastAsia="Times New Roman" w:hAnsi="Times New Roman"/>
          <w:sz w:val="12"/>
          <w:szCs w:val="12"/>
          <w:color w:val="auto"/>
        </w:rPr>
        <w:t>olony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5"/>
          <w:szCs w:val="25"/>
          <w:b w:val="1"/>
          <w:bCs w:val="1"/>
          <w:color w:val="auto"/>
        </w:rPr>
        <w:t>Forrester Research, Inc.</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12, 2026</w:t>
      </w:r>
    </w:p>
    <w:p>
      <w:pPr>
        <w:spacing w:after="0" w:line="19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Notice is hereby given that the 2026 Annual Meeting of Stockholders of Forrester Research, Inc. will be held at 10:00 a.m. Eastern Daylight Time on Tuesday, May 12, 2026. The annual meeting will be a virtual stockholder meeting, conducted via live audio webcast, through which you can submit questions and vote online. You may attend the meeting by visiting </w:t>
      </w:r>
      <w:r>
        <w:rPr>
          <w:rFonts w:ascii="Times New Roman" w:cs="Times New Roman" w:eastAsia="Times New Roman" w:hAnsi="Times New Roman"/>
          <w:sz w:val="18"/>
          <w:szCs w:val="18"/>
          <w:u w:val="single" w:color="auto"/>
          <w:color w:val="auto"/>
        </w:rPr>
        <w:t>www.virtualshareholdermeeting.com/FORR2026</w:t>
      </w:r>
      <w:r>
        <w:rPr>
          <w:rFonts w:ascii="Times New Roman" w:cs="Times New Roman" w:eastAsia="Times New Roman" w:hAnsi="Times New Roman"/>
          <w:sz w:val="18"/>
          <w:szCs w:val="18"/>
          <w:color w:val="auto"/>
        </w:rPr>
        <w:t xml:space="preserve"> and entering your 16-digit control number included with these proxy materials. The purpose of the annual meeting will be the following:</w:t>
      </w:r>
    </w:p>
    <w:p>
      <w:pPr>
        <w:spacing w:after="0" w:line="72"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six directors named in the accompanying proxy statement to serve until the 2027 Annual Meeting of Stockholders;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and restatement of the Forrester Research, Inc. Third Amended and Restated Employee Stock Purchase Plan to increase the number of shares available for purchase under the plan;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non-binding vote our executive compensation.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Stockholders of record at the close of business on March 16, 2026 are entitled to notice of and to vote at the meeting. A list of stockholders entitled to vote at the meeting will be open to examination by any stockholder, for any purpose germane to the meeting, during normal business hours for a period of ten days before the meeting at our corporate offices at 60 Acorn Park Drive, Cambridge, Massachusetts 02140, and online during the meeting accessible at </w:t>
      </w:r>
      <w:r>
        <w:rPr>
          <w:rFonts w:ascii="Times New Roman" w:cs="Times New Roman" w:eastAsia="Times New Roman" w:hAnsi="Times New Roman"/>
          <w:sz w:val="18"/>
          <w:szCs w:val="18"/>
          <w:u w:val="single" w:color="auto"/>
          <w:color w:val="auto"/>
        </w:rPr>
        <w:t>www.virtualshareholdermeeting.com/FORR2026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you are unable to participate in the annual meeting online, please vote your shares as provided in this proxy statement.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154305</wp:posOffset>
            </wp:positionV>
            <wp:extent cx="942975"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29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yan</w:t>
      </w:r>
      <w:r>
        <w:rPr>
          <w:rFonts w:ascii="Times New Roman" w:cs="Times New Roman" w:eastAsia="Times New Roman" w:hAnsi="Times New Roman"/>
          <w:sz w:val="18"/>
          <w:szCs w:val="18"/>
          <w:color w:val="auto"/>
        </w:rPr>
        <w:t xml:space="preserve"> D. D</w:t>
      </w:r>
      <w:r>
        <w:rPr>
          <w:rFonts w:ascii="Times New Roman" w:cs="Times New Roman" w:eastAsia="Times New Roman" w:hAnsi="Times New Roman"/>
          <w:sz w:val="12"/>
          <w:szCs w:val="12"/>
          <w:color w:val="auto"/>
        </w:rPr>
        <w:t>arrah</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IT IS IMPORTANT THAT YOUR SHARES BE REPRESENTED AT THE MEETING. PLEASE</w:t>
      </w:r>
    </w:p>
    <w:p>
      <w:pPr>
        <w:spacing w:after="0" w:line="3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VOTE YOUR SHARES OVER THE INTERNET OR BY TELEPHONE IN ACCORDANCE WITH</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THE INSTRUCTIONS SET FORTH ON THE PROXY CARD, OR COMPLETE, SIGN AND RETURN</w:t>
      </w:r>
    </w:p>
    <w:p>
      <w:pPr>
        <w:spacing w:after="0" w:line="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THE ENCLOSED PROXY CARD AS PROMPTLY AS POSSIBLE WHETHER OR</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NOT YOU PLAN TO PARTICIPATE IN THE MEETING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color w:val="auto"/>
        </w:rPr>
        <w:t>FORRESTER RESEARCH, INC.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12, 2026</w:t>
      </w: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19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Board of Directors of Forrester Research, Inc., a Delaware corporation, is soliciting proxies from our stockholders. The proxy will be used at our 2026 Annual Meeting of Stockholders and at any adjournments thereof. You are invited to attend the meeting to be held at 10:00 a.m. Eastern Daylight Time on Tuesday, May 12, 2026. The annual meeting will be held virtually, conducted via live audio webcast, through which you can submit questions and vote online. You may attend the meeting by visiting </w:t>
      </w:r>
      <w:r>
        <w:rPr>
          <w:rFonts w:ascii="Times New Roman" w:cs="Times New Roman" w:eastAsia="Times New Roman" w:hAnsi="Times New Roman"/>
          <w:sz w:val="18"/>
          <w:szCs w:val="18"/>
          <w:u w:val="single" w:color="auto"/>
          <w:color w:val="auto"/>
        </w:rPr>
        <w:t>www.virtualshareholdermeeting.com/FORR2026</w:t>
      </w:r>
      <w:r>
        <w:rPr>
          <w:rFonts w:ascii="Times New Roman" w:cs="Times New Roman" w:eastAsia="Times New Roman" w:hAnsi="Times New Roman"/>
          <w:sz w:val="18"/>
          <w:szCs w:val="18"/>
          <w:color w:val="auto"/>
        </w:rPr>
        <w:t>. Be sure to have your 16-digit control number included with these proxy materials in order to access the annual meeting. This proxy statement was first made available to stockholders on or about March 31, 2026.</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This proxy statement contains important information regarding our annual meeting. Specifically, it identifies the proposals upon which you are being asked to vote, provides information that you may find useful in determining how to vote, and describes voting procedures.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use several abbreviations in this proxy statement. We call our Board of Directors the “Board”, refer to our fiscal year which began on January 1, 2025 and ended on December 31, 2025 as “fiscal 2025,” and refer to our fiscal year ending December 31, 2026 as “fiscal 2026”. We also refer to ourselves as “Forrester” or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Attend and Vote?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Stockholders who owned our common stock at the close of business on March 16, 2026 are entitled to notice of and to vote at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refer to this date in this proxy statement as the “record date.” As of the record date, we had 19,175,893 shares of common stock issued and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common stock is entitled to one vote on each matter to come before the meeting.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you are a stockholder of record of our common stock:</w:t>
      </w:r>
    </w:p>
    <w:p>
      <w:pPr>
        <w:spacing w:after="0" w:line="115" w:lineRule="exact"/>
        <w:rPr>
          <w:sz w:val="20"/>
          <w:szCs w:val="20"/>
          <w:color w:val="auto"/>
        </w:rPr>
      </w:pPr>
    </w:p>
    <w:p>
      <w:pPr>
        <w:jc w:val="both"/>
        <w:ind w:left="1020" w:hanging="503"/>
        <w:spacing w:after="0" w:line="26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 may vote over the internet. </w:t>
      </w:r>
      <w:r>
        <w:rPr>
          <w:rFonts w:ascii="Times New Roman" w:cs="Times New Roman" w:eastAsia="Times New Roman" w:hAnsi="Times New Roman"/>
          <w:sz w:val="18"/>
          <w:szCs w:val="18"/>
          <w:color w:val="auto"/>
        </w:rPr>
        <w:t>If you have internet access, you may vote your shares from any location in the world by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by Internet" instructions on the enclosed proxy card. In addition, you may attend the annual meeting via the internet and vote during the annual meeting. Please have your 16-digit control number included with these proxy materials in order to access the annual meeting.</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 may vote by telephone.  </w:t>
      </w:r>
      <w:r>
        <w:rPr>
          <w:rFonts w:ascii="Times New Roman" w:cs="Times New Roman" w:eastAsia="Times New Roman" w:hAnsi="Times New Roman"/>
          <w:sz w:val="18"/>
          <w:szCs w:val="18"/>
          <w:color w:val="auto"/>
        </w:rPr>
        <w:t>You may vote your shares by following the “Vote by Phone” instructions on the enclosed proxy card.</w:t>
      </w:r>
    </w:p>
    <w:p>
      <w:pPr>
        <w:spacing w:after="0" w:line="117"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 may vote by mail. </w:t>
      </w:r>
      <w:r>
        <w:rPr>
          <w:rFonts w:ascii="Times New Roman" w:cs="Times New Roman" w:eastAsia="Times New Roman" w:hAnsi="Times New Roman"/>
          <w:sz w:val="18"/>
          <w:szCs w:val="18"/>
          <w:color w:val="auto"/>
        </w:rPr>
        <w:t>If you choose to vote by mail, simply mark your proxy card, date and sign it, and return it in the postage-paid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envelope provided.</w:t>
      </w:r>
    </w:p>
    <w:p>
      <w:pPr>
        <w:spacing w:after="0" w:line="16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By voting over the internet or by telephone, or by signing and returning the proxy card according to the enclosed instructions, you are enabling the individuals named on the proxy card (known as “proxies”) to vote your shares at the meeting in the manner you indicate. We encourage you to vote in advance even if you plan to attend the meeting. In this way, your shares will be voted even if you are unable to attend the meeting. Your shares will be voted in accordance with your instructions. If a proxy card is signed and received by our Secretary, but no instructions are indicated, then the proxy will be voted “FOR” the election of the nominees for directors, "FOR" approval of the Amended and Restated Employee Stock Purchase Plan, “FOR” ratifying the appointment of PricewaterhouseCoopers LLP as our independent registered public accounting firm for fiscal 2026, and “FOR” approval of the non-binding vote on our executive compensation.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if My Shares are Held in Street Name?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you hold shares in “street name” (that is, through a bank, broker, or other nominee), the bank, broker, or other nominee, as the record holder of your shares, is required to vote your shares according to your instructions. In order to vote your shares, you will need to follow the directions your brokerage firm provides you. Many brokers also offer the option of voting over the internet or by telephone, instructions for which would be provided by your brokerage firm on your voting instruction form. Please follow the instructions on that form to make sure your shares are properly voted. If you hold shares in “street name” and would like to attend the annual meeting and vote online, you must contact the person in whose name your shares are registered and follow directions provided to obtain a proxy card from that person and have it available for the annual meeting.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the Board of Directors Recommend?</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Board recommends that you vote FOR the election of nominees for directors identified in Proposal One, FOR approval of the Amended and Restated Employee Stock Purchase Plan described in Proposal Two, FOR ratifying the appointment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PricewaterhouseCoopers LLP as our independent registered public accounting firm as described in Proposal Three, and FOR approval by non-binding vote of our executive compensation as provided in Proposal Four.</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you are a record holder and submit the proxy card but do not indicate your voting instructions, the persons named as proxies on your proxy card will vote in accordance with the recommendations of the Board of Directors. If you hold your shares in “street name”, and you do not indicate how you wish to have your shares voted, your nominee has discretion to instruct the proxies to vote on Proposal Three but does not have the authority, without your specific instructions, to vote on the election of directors or on Proposals Two or Four, and those votes will be counted as “broker non-votes”.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for Each Proposal?</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majority of the shares entitled to vote on a particular matter, present in person or represented by proxy, constitutes a quorum as to any proposal. The nominees for election of the directors at the meeting (Proposal One) who receive the greatest number of votes properly cast for the election of directors will be elected. As a result, shares that withhold authority as to the nominees recommended by the Board will have no effect on the outcome. The affirmative vote of the holders of a majority of the shares of common stock present in person or represented by proxy and voting is required to approve the Forrester Research, Inc. Amended and Restated Employee Stock Purchase Plan (Proposal Two), to ratify the appointment of PricewaterhouseCoopers LLP as our independent registered public accounting firm (Proposal Three), and to approve the non-binding vote on our executive compensation (Proposal Four).</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Shares represented by proxies that indicate an abstention or a “broker non-vote” (that is, shares represented at the annual meeting held by brokers or nominees as to which (i) instructions have not been received from the beneficial owners or persons entitled to vote and (ii) the broker or nominee does not have discretionary voting power on a particular matter) will be counted as shares that are present and entitled to vote on the matter for purposes of determining the presence of a quorum, but are not considered to have been voted, and have the practical effect of reducing the number of affirmative votes required to achieve a majority for those matters requiring the affirmative vote of the holders of a majority of the shares present or represented by proxy and voting (Proposals Two, Three and Four) by reducing the total number of shares from which the majority is calculated. However, because directors are elected by a plurality vote, abstentions and broker non-votes will have no effect on the outcome on Proposal One.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I Change or Revoke My Vote After I Return My Proxy Card or After I Have Voted My Shares over the Internet or by Telephone?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Yes. If you are a stockholder of record, you may change or revoke a proxy any time before it is voted by:</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to us a newly signed proxy bearing a later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instrument to our Secretary revoking the proxy;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via the internet and voting online. Simply attending the annual meeting will not, by itself, revoke your proxy.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you hold shares in “street name”, you should follow the procedure in the instructions that your nominee has provided to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Bear the Cost of Proxy Solicitation?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will bear the expense of soliciting proxies. Our officers and regular employees (who will receive no compensation in addition to their regular salaries) may solicit proxies. In addition to soliciting proxies through the mail, our officers and regular employees may solicit proxies personally, as well as by mail, telephone, and electronically from brokerage houses and other stockholders. We will reimburse brokers and other persons for reasonable charges and expenses incurred in forwarding soliciting materials to their clients.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May 12, 2026</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This proxy statement and our Annual Report to Stockholders are available on-line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These materials will be mailed to stockholders who request them.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Obtain an Annual Report on Form 10-K?</w:t>
      </w:r>
    </w:p>
    <w:p>
      <w:pPr>
        <w:spacing w:after="0" w:line="1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Our Annual Report on Form 10-K for the fiscal year ended December 31, 2025 is available on our website at </w:t>
      </w:r>
      <w:r>
        <w:rPr>
          <w:rFonts w:ascii="Times New Roman" w:cs="Times New Roman" w:eastAsia="Times New Roman" w:hAnsi="Times New Roman"/>
          <w:sz w:val="18"/>
          <w:szCs w:val="18"/>
          <w:u w:val="single" w:color="auto"/>
          <w:color w:val="auto"/>
        </w:rPr>
        <w:t>www.forrester.com/aboutus</w:t>
      </w:r>
      <w:r>
        <w:rPr>
          <w:rFonts w:ascii="Times New Roman" w:cs="Times New Roman" w:eastAsia="Times New Roman" w:hAnsi="Times New Roman"/>
          <w:sz w:val="18"/>
          <w:szCs w:val="18"/>
          <w:color w:val="auto"/>
        </w:rPr>
        <w:t>. If you would like a copy of our Annual Report on Form 10-K for the fiscal year ended December 31, 2025 we will send you one without charge. Please contact Investor Relations, Forrester Research, Inc., 60 Acorn Park Drive, Cambridge, MA 02140, Tel: (617) 613-6000.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and notes provide information about the beneficial ownership of our outstanding common stock as of March 16, 2026 (except as otherwise noted) by:</w:t>
      </w:r>
    </w:p>
    <w:p>
      <w:pPr>
        <w:spacing w:after="0" w:line="54" w:lineRule="exact"/>
        <w:rPr>
          <w:sz w:val="20"/>
          <w:szCs w:val="20"/>
          <w:color w:val="auto"/>
        </w:rPr>
      </w:pPr>
    </w:p>
    <w:p>
      <w:pPr>
        <w:ind w:left="1540" w:hanging="514"/>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we know beneficially owns more than 5% of our common stock;</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executive officers named below in the Summary Compensation Table;</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Board of Directors;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Except as otherwise indicated, each of the stockholders named in the table below has sole voting and investment power with respect to the shares of our common stock beneficially owned. Beneficial ownership is determined in accordance with the rules of the Securities and Exchange Commission (“SEC”) and includes voting or investment power with respect to the shares. Shares subject to exercisable options and vesting restricted stock units include options that are currently exercisable or exercisable within 60 days of March 16, 2026 and shares underlying restricted stock units scheduled to vest within 60 days of March 16, 2026.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tcBorders>
              <w:bottom w:val="single" w:sz="8" w:color="auto"/>
            </w:tcBorders>
            <w:gridSpan w:val="5"/>
          </w:tcPr>
          <w:p>
            <w:pPr>
              <w:jc w:val="center"/>
              <w:ind w:left="1068"/>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1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3"/>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Subject</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 Exercisable</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Options and</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4"/>
                <w:szCs w:val="14"/>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2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3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64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George F. Colony</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7,380,411</w:t>
            </w:r>
          </w:p>
        </w:tc>
        <w:tc>
          <w:tcPr>
            <w:tcW w:w="22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 Forrester Research, Inc.</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60 Acorn Park Drive</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Cambridge, MA 02140(1)</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Portolan Capital Management, LLC</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1,163,008</w:t>
            </w:r>
          </w:p>
        </w:tc>
        <w:tc>
          <w:tcPr>
            <w:tcW w:w="220" w:type="dxa"/>
            <w:vAlign w:val="bottom"/>
          </w:tcPr>
          <w:p>
            <w:pPr>
              <w:spacing w:after="0"/>
              <w:rPr>
                <w:sz w:val="24"/>
                <w:szCs w:val="24"/>
                <w:color w:val="auto"/>
              </w:rPr>
            </w:pPr>
          </w:p>
        </w:tc>
        <w:tc>
          <w:tcPr>
            <w:tcW w:w="17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 International Place, Floor 26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Boston, MA 02110(2)</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6460" w:type="dxa"/>
            <w:vAlign w:val="bottom"/>
          </w:tcPr>
          <w:p>
            <w:pPr>
              <w:spacing w:after="0"/>
              <w:rPr>
                <w:sz w:val="10"/>
                <w:szCs w:val="10"/>
                <w:color w:val="auto"/>
              </w:rPr>
            </w:pPr>
          </w:p>
        </w:tc>
        <w:tc>
          <w:tcPr>
            <w:tcW w:w="146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Bennett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17,305</w:t>
            </w:r>
          </w:p>
        </w:tc>
        <w:tc>
          <w:tcPr>
            <w:tcW w:w="22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Neil Bradford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220" w:type="dxa"/>
            <w:vAlign w:val="bottom"/>
          </w:tcPr>
          <w:p>
            <w:pPr>
              <w:spacing w:after="0"/>
              <w:rPr>
                <w:sz w:val="18"/>
                <w:szCs w:val="18"/>
                <w:color w:val="auto"/>
              </w:rPr>
            </w:pPr>
          </w:p>
        </w:tc>
        <w:tc>
          <w:tcPr>
            <w:tcW w:w="17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Friscia</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31,938</w:t>
            </w:r>
          </w:p>
        </w:tc>
        <w:tc>
          <w:tcPr>
            <w:tcW w:w="22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Corinne Munchbach</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220" w:type="dxa"/>
            <w:vAlign w:val="bottom"/>
          </w:tcPr>
          <w:p>
            <w:pPr>
              <w:spacing w:after="0"/>
              <w:rPr>
                <w:sz w:val="18"/>
                <w:szCs w:val="18"/>
                <w:color w:val="auto"/>
              </w:rPr>
            </w:pPr>
          </w:p>
        </w:tc>
        <w:tc>
          <w:tcPr>
            <w:tcW w:w="17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Warren Romine</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19,702</w:t>
            </w:r>
          </w:p>
        </w:tc>
        <w:tc>
          <w:tcPr>
            <w:tcW w:w="22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Ryan Darrah</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26,567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 Christian Finn</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31,348</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Carrie Johnson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31,427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Sharyn Leaver</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Nate Swan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220" w:type="dxa"/>
            <w:vAlign w:val="bottom"/>
          </w:tcPr>
          <w:p>
            <w:pPr>
              <w:spacing w:after="0"/>
              <w:rPr>
                <w:sz w:val="18"/>
                <w:szCs w:val="18"/>
                <w:color w:val="auto"/>
              </w:rPr>
            </w:pPr>
          </w:p>
        </w:tc>
        <w:tc>
          <w:tcPr>
            <w:tcW w:w="17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Directors, named executive officers, and other executive</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officers as a group (15 persons)(1)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7,640,072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191,262</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520" w:hanging="512"/>
        <w:spacing w:after="0" w:line="253" w:lineRule="auto"/>
        <w:tabs>
          <w:tab w:leader="none" w:pos="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 42,034 shares held by The George F. Colony 2024 Grantor Retained Annuity Trust No. 46 of which Mr. Colony is a trustee and has sole dispositive power and shares voting power with the 3 other trustees; (2) 27,690 shares held by The George F. Colony 2024 Grantor Retained Annuity Trust No. 47 of which Mr. Colony is a trustee and has sole dispositive power and shares voting power with the 3 other trustees; (3) 38,569 shares held by The George F. Colony 2025 Grantor Retained Annuity Trust No. 48 of which Mr. Colony is a trustee and has sole dispositive power and shares voting power with the 3 other trustees; (4) 500,000 shares held by The George F. Colony 2025 Grantor Retained Annuity Trust No. 49 of which Mr. Colony is a trustee and has sole dispositive power and shares voting power with the 3 other trustees; (5) 500,000 shares held by The George F. Colony 2025 Grantor Retained Annuity Trust No. 50 of which Mr. Colony is a trustee and has sole dispositive power and shares voting power with the 3 other trustees; (6) 1,580 shares owned by Mr. Colony’s wife; and (7) 6,270,538 shares held by Mr. Colony, individually.</w:t>
      </w:r>
    </w:p>
    <w:p>
      <w:pPr>
        <w:ind w:left="520" w:hanging="512"/>
        <w:spacing w:after="0" w:line="250" w:lineRule="auto"/>
        <w:tabs>
          <w:tab w:leader="none" w:pos="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as of February 11, 2026, as reported in a Schedule 13G filed with the SEC on February 19, 2026, stating that Portolan Capital Management, LLC (directly) and George McCabe (indirectly) have sole voting and dispositive power with respect to 1,163,008 shares.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-1510665</wp:posOffset>
            </wp:positionV>
            <wp:extent cx="1423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directors are elected annually by the stockholders. The Board has nominated Robert Bennett, Neil Bradford, George F. Colony, Anthony Friscia, Corinne Munchbach, and Warren Romine to serve one-year terms that will expire at the 2027 Annual Meeting of Stockholders. These individuals all currently serve on our Board.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proxies intend to vote each share for which a proper proxy card has been returned or voting instructions received and not revoked in favor of the nominees named above. If you wish to withhold the authority to vote for the election of any of the nominees, your voting instructions must so indicate or your returned proxy card must be marked to that effect.</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It is expected that each of the nominees will be able to serve, but if any of them is unable to serve, the proxies reserve discretion to vote, or refrain from voting, for a substitute nominee or nominees.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section provides information about each nominee, including information provided by each nominee about his or her principal occupation and business experience for the past five years and the names of other publicly-traded companies, if any, for which he or she currently serves as a director or has served as a director during the past five years. In addition to the information presented with respect to each nominee’s experience, qualifications and skills that led our Board to conclude that he or she should serve as a director, we also believe that each of the nominees has demonstrated business acumen and a significant commitment to our company, and has a reputation for integrity and adherence to high ethical standards.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NOMINEES FOR ELECTION</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Robert Bennett, 69, became a director of Forrester in July 2024. Mr. Bennett currently also serves as an independent board member of InvoiceCloud, Inc. and SimplePractice, LLC. In 2020, Mr. Bennett founded EngageSmart, Inc., a provider of vertically tailored customer engagement software and integrated payments solutions that went public in 2021, and served as its Chief Executive Officer until it was acquired in January 2024. We believe Mr. Bennett’s qualifications to serve on our Board of Directors include his extensive experience in leading profitable high-growth technology companies and his expertise as a sales, marketing, and go-to-market executive.</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Neil Bradford, age 53, became a director of Forrester in February 2018. Mr. Bradford is the founder and Chief Executive Officer of General Index Limited, a tech-led provider of energy and commodity benchmarks. From 2017 to March 2019, Mr. Bradford served as the Chief Executive Officer of Financial Express, Ltd., an investment ratings and fund research agency based in the United Kingdom. Prior to joining FE, Mr. Bradford was the Chief Executive Officer of Argus Media, a provider of price assessments, business intelligence and market data for the global energy and commodities markets. In 1997, Mr. Bradford co-founded Fletcher Research Limited, a UK-based technology research firm that was acquired by Forrester in 1999. Mr. Bradford served in executive roles with Forrester until 2006. We believe Mr. Bradford’s qualifications to serve on our Board of Directors include his years of experience in the research and advisory business, having both founded and led companies in the industry, his prior experience as an executive officer of Forrester, and his perspective on European business as a UK citizen having worked for firms headquartered in London.</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George F. Colony, age 72, is the founder of Forrester and since 1983, he has served as Chairman of the Board and Chief Executive Officer. He also has served as Forrester’s President since September 2001, and he previously was Forrester’s President from 1983 to 2000. We believe Mr. Colony’s qualifications to serve on our Board of Directors and as its Chairman include his extensive experience in the research industry, including more than 40 years as our chief executive officer, and his significant ownership stake in the Company.</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Anthony Friscia, age 70, became a director of Forrester in June 2017. Mr. Friscia is currently an independent business consultant. From 2014 to 2016, Mr. Friscia was the President and Chief Executive Officer of Eduventures, Inc., a research and advisory firm that provides proprietary research and strategic advice to higher education leaders. Previously, from 2011 to 2014, Mr. Friscia served as a consultant and special advisor to the President of the New School, a private university in New York City. In 1986, Mr. Friscia founded AMR Research, a provider of research and advice on global supply chain and enterprise technology to operations and IT executives, and served as its President and Chief Executive Officer until 2010. We believe Mr. Friscia’s qualifications to serve on our Board of Directors include his years of experience in business leadership and providing strategic advice to senior leaders, including extensive experience as a chief executive officer in the research and advisory business.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Corinne Munchbach, age 38, became a director of Forrester in June 2024. Ms. Munchbach was the Chief Executive Officer of BlueConic, Inc., a SaaS company in the marketing technology space, from January 2023 to February 2025. Previously, she held various roles at BlueConic after joining in 2015, most recently as President and Chief Operating Officer. From 2010 through 2014, Ms. Munchbach served in a variety of roles at Forrester, including as an analyst covering business and consumer technology trends and the marketing tech landscape. We believe Ms. Munchbach’s qualifications to serve on our Board of Directors include her thought leadership</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 the areas of customer data, customer experience, and marketing technology, and her operational experience as a chief executive officer.</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Warren Romine, age 55, became a director of Forrester in March 2022. Mr. Romine is the founder and managing director of Orchard Knob Capital LLC, an independent financial advisory and investment firm focused on the aerospace, defense and government services markets. He is also Chairman and Chief Executive Officer of Corelis, Inc., a designer and manufacturer of software and hardware test tools used to diagnose, test and debug circuit boards. Mr. Romine served as a Senior Lecturer at Harvard Business School in the finance department from October 2022 to June 2023. From 2017 to January 2022, Mr. Romine was a Managing Director and co-head of the Aerospace and Defense group at KippsDeSanto &amp; Co., an investment bank focused on growth-oriented aerospace, defense and technology companies. Previously, from 2013 to 2017, Mr. Romine was a Managing Director and head of the Aerospace, Defense and Government Services group at FBR &amp; Co., an investment banking and brokerage firm. From 2006 to 2014, Mr. Romine also served as chair of the audit committee of the board of directors of RELM Wireless Corporation (now known as BK Technologies), a publicly-traded manufacturer of telecommunications products. We believe that Mr. Romine's qualifications to serve on our Board of Directors include his extensive finance and management experience in the investment banking business, his expertise regarding mergers and acquisitions, and his prior experience as a public company board member.</w:t>
      </w:r>
    </w:p>
    <w:p>
      <w:pPr>
        <w:spacing w:after="0" w:line="2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OUR BOARD OF DIRECTORS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THE NOMINEES NAMED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good corporate governance is important to ensure that Forrester is managed for the long-term benefit of its stockholders. Based on our continuing review of the provisions of the Sarbanes-Oxley Act of 2002, rules of the Securities and Exchange Commission and the listing standards of The NASDAQ Stock Market, our Board of Directors has adopted Corporate Governance Guidelines, an amended and restated charter for the Audit Committee of the Board of Directors, and a charter for the Compensation and Nominating Committee of the Board.</w:t>
      </w:r>
    </w:p>
    <w:p>
      <w:pPr>
        <w:spacing w:after="0" w:line="17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Retention Guidelines: </w:t>
      </w:r>
      <w:r>
        <w:rPr>
          <w:rFonts w:ascii="Times New Roman" w:cs="Times New Roman" w:eastAsia="Times New Roman" w:hAnsi="Times New Roman"/>
          <w:sz w:val="18"/>
          <w:szCs w:val="18"/>
          <w:color w:val="auto"/>
        </w:rPr>
        <w:t>Our Corporate Governance Guidelines include stock retention guidelines applicable to executive officers and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guidelines, which are described in more detail below in the Compensation Discussion and Analysis section, require all directors and executive officers to hold a targeted value of our common stock within specified time frames, and include restrictions on sales of our common stock by such directors and executive officers until the guidelines have been met. These guidelines may be waived, at the discretion of the Compensation and Nominating Committee of the Board of Directors, if compliance with the guidelines would create severe hardship or prevent an executive officer or director from complying with a court order.</w:t>
      </w:r>
    </w:p>
    <w:p>
      <w:pPr>
        <w:spacing w:after="0" w:line="1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Insider Trading Policy and Procedures: </w:t>
      </w:r>
      <w:r>
        <w:rPr>
          <w:rFonts w:ascii="Times New Roman" w:cs="Times New Roman" w:eastAsia="Times New Roman" w:hAnsi="Times New Roman"/>
          <w:sz w:val="18"/>
          <w:szCs w:val="18"/>
          <w:color w:val="auto"/>
        </w:rPr>
        <w:t>We have adopted an Insider Trading Policy that governs the purchase, sale, or other dispositions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by our directors, officers and employees. We believe our Insider Trading Policy is reasonably designed to promote compliance with insider trading laws, rules and regulations. A copy of our Insider Trading Policy was filed as Exhibit 19.1 to our 2024 Annual Report on Form 10-K. We currently do not have a policy regarding hedging.</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Code of Business Conduct and Ethics: </w:t>
      </w:r>
      <w:r>
        <w:rPr>
          <w:rFonts w:ascii="Times New Roman" w:cs="Times New Roman" w:eastAsia="Times New Roman" w:hAnsi="Times New Roman"/>
          <w:sz w:val="18"/>
          <w:szCs w:val="18"/>
          <w:color w:val="auto"/>
        </w:rPr>
        <w:t>We also have a written code of business conduct and ethics that applies to all of our officers,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employees, including our principal executive officer, principal financial officer, principal accounting officer, and persons performing similar functions. You can access our Code of Business Conduct and Ethics, Corporate Governance Guidelines and our current committee charters on our website, at </w:t>
      </w:r>
      <w:r>
        <w:rPr>
          <w:rFonts w:ascii="Times New Roman" w:cs="Times New Roman" w:eastAsia="Times New Roman" w:hAnsi="Times New Roman"/>
          <w:sz w:val="18"/>
          <w:szCs w:val="18"/>
          <w:u w:val="single" w:color="auto"/>
          <w:color w:val="auto"/>
        </w:rPr>
        <w:t>www.forrester.com/aboutus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Clawback Policy: </w:t>
      </w:r>
      <w:r>
        <w:rPr>
          <w:rFonts w:ascii="Times New Roman" w:cs="Times New Roman" w:eastAsia="Times New Roman" w:hAnsi="Times New Roman"/>
          <w:sz w:val="18"/>
          <w:szCs w:val="18"/>
          <w:color w:val="auto"/>
        </w:rPr>
        <w:t>Our Board of Directors has adopted a Compensation Recovery Policy (“Clawback Policy”) to comply with the final clawback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adopted by the SEC under Rule 10D-1 and the listing standards of The NASDAQ Stock Market. The Clawback Policy provides for the mandatory recovery of erroneously awarded incentive-based compensation received by covered officers if we are required to prepare a financial restatement. Under the Clawback Policy, the Board may recoup from the covered officers erroneously awarded incentive compensation received on or after October 2, 2023 within a lookback period of the three completed fiscal years preceding the date on which we are required to prepare an accounting restatement.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With Respect to Board of Directors</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each of the current directors, with the exception of Mr. Colony, our Chairman and Chief Executive Officer, is independent under applicable NASDAQ standards as currently in effect.</w:t>
      </w: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held five meetings during fiscal 2025. Each director attended at least 75 percent of the aggregate of the meetings of the Board of Directors and of each committee of which he or she is a member. Forrester does not require directors to attend the annual meeting of stockholders. Mr. Colony, who presided at the meeting, attended the 2025 annual meeting of stockholders, as did Mr. Friscia. Historically, very few stockholders have attended our annual meeting and we have not found it to be a particularly useful forum for communicating with our stockholders.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Audit Committee consists of three members: Warren Romine, Chair, Neil Bradford, and Corinne Munchbach, each of whom, in addition to satisfying the NASDAQ independence standards, also satisfies the Sarbanes-Oxley independence requirements for audit committee membership. In addition, the Board has determined that Mr. Romine is an “audit committee financial expert” under applicable rules of the Securities and Exchange Commission, and all of the members of the Audit Committee satisfy the financial literacy standards of NASDAQ. The Audit Committee held five meetings during fiscal 2025. The responsibilities of our Audit Committee and its activities during fiscal 2025 are described in the committee’s amended and restated charter, which is available on our website at </w:t>
      </w:r>
      <w:r>
        <w:rPr>
          <w:rFonts w:ascii="Times New Roman" w:cs="Times New Roman" w:eastAsia="Times New Roman" w:hAnsi="Times New Roman"/>
          <w:sz w:val="18"/>
          <w:szCs w:val="18"/>
          <w:u w:val="single" w:color="auto"/>
          <w:color w:val="auto"/>
        </w:rPr>
        <w:t>www.forrester.com/aboutus</w:t>
      </w:r>
      <w:r>
        <w:rPr>
          <w:rFonts w:ascii="Times New Roman" w:cs="Times New Roman" w:eastAsia="Times New Roman" w:hAnsi="Times New Roman"/>
          <w:sz w:val="18"/>
          <w:szCs w:val="18"/>
          <w:color w:val="auto"/>
        </w:rPr>
        <w:t>. The charter will also be made available without charge to any stockholder who requests it by writing to Forrester Research, Inc., Attn: Chief Legal Officer and Secretary, 60 Acorn Park Drive, Cambridge, MA 02140.</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Nominating Committee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Compensation and Nominating Committee consists of three members: Tony Friscia, Chair, Robert Bennett, and Corinne Munchbach. The Compensation and Nominating Committee held six meetings during fiscal 2025. The Compensation and Nominating Committee has authority, as specified in the committee’s charter, to, among other things, evaluate and approve the compensation of our Chief Executive Officer, review and approve the compensation of our other executive officers, administer our stock plans, and oversee the development of executive succession plans for the CEO and other executive officers. The committee also has the authority to identify and recommend to the Board qualified candidates for director. The Compensation and Nominating Committee charter is available on our website at </w:t>
      </w:r>
      <w:r>
        <w:rPr>
          <w:rFonts w:ascii="Times New Roman" w:cs="Times New Roman" w:eastAsia="Times New Roman" w:hAnsi="Times New Roman"/>
          <w:sz w:val="18"/>
          <w:szCs w:val="18"/>
          <w:u w:val="single" w:color="auto"/>
          <w:color w:val="auto"/>
        </w:rPr>
        <w:t>www.forrester.com/aboutus</w:t>
      </w:r>
      <w:r>
        <w:rPr>
          <w:rFonts w:ascii="Times New Roman" w:cs="Times New Roman" w:eastAsia="Times New Roman" w:hAnsi="Times New Roman"/>
          <w:sz w:val="18"/>
          <w:szCs w:val="18"/>
          <w:color w:val="auto"/>
        </w:rPr>
        <w:t>. The charter will also be made available without charge to any stockholder who requests it by writing to Forrester Research, Inc., Attn: Chief Legal Officer and Secretary, 60 Acorn Park Drive, Cambridge, MA 02140.</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 person who served during the past fiscal year as a member of our Compensation and Nominating Committee is or was an officer or employee of Forrester, or had any relationship with Forrester requiring disclosure in this proxy statement. During the past fiscal year, none of our executive officers served as a member of the board of directors of another entity, any of whose executive officers served as one of our directors.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At the present time, Mr. Colony serves as both Chairman of the Board and Chief Executive Officer. Mr. Colony is a significant stakeholder in Forrester, beneficially owning approximately 39% of our outstanding common stock. As such, we believe it is appropriate that he set the agenda for the Board of Directors in addition to serving as the Chief Executive Officer. We also do not believe that the size of the Company warrants the division of these responsibilities.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2025, the Board of Directors selected Tony Friscia to act as lead independent director following the retirement of Robert Galford. In this role, Mr. Friscia presides at executive sessions of the independent directors and will bear such further responsibilities as the Board as a whole may designate from time to time.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Board’s Role in Risk Oversight; Risk Considerations in our Compensation Programs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Board’s role in the Company’s risk oversight process includes receiving regular reports from members of management on areas of material risk to the Company, including financial, strategic, operational, cybersecurity, ESG, legal and regulatory risks. The full Board (or the appropriate Committee in the case of risks that are under the purview of a particular Committee) receives these reports from the appropriate manager within the Company. When a committee receives such a report, the Chair of the relevant Committee reports on the discussion to the full Board during the Committee reports portion of the next Board meeting, enabling the full Board to coordinate the risk oversight role, particularly with respect to risk interrelationships.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Compensation and Nominating Committee does not believe that our compensation programs encourage excessive or inappropriate risk taking. We structure our pay programs to consist of both fixed and variable compensation, with the fixed base salary portion providing steady income regardless of our stock price performance. The variable components, consisting of cash bonus and stock-based awards, are designed to reward both short and long-term performance. Targets under our bonus plans are typically a function of contract value (CV) bookings and modified operating income (described in greater detail in the Compensation Discussion 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Analysis below), important financial metrics for our business. For long-term performance, we generally have awarded restricted stock units vesting over four years and, commencing in 2023, have also periodically awarded stock options and performance-based restricted stock units. We believe that the variable elements of compensation are a sufficient percentage of overall compensation to motivate executives to produce excellent short and long-term results for the Company, while fixed base salary is also sufficiently high such that the executives are not encouraged to take unnecessary or excessive risks. In addition, our bonus plan funding metrics apply company-wide, regardless of function or client group, which we believe encourages relatively consistent behavior across the organization. We cap our executive bonuses at 1.56 times target company performance. Therefore, even if Company performance dramatically exceeds target performance, bonus payouts are limited. Conversely, we have a minimum threshold on Company performance under our executive bonus plan approved by the Compensation and Nominating Committee so that the bonus plan is not funded at performance below a certain level. We also believe that our Executive Severance Plan described in detail below, which provides severance compensation in the event of involuntary termination of employment without cause and in connection with a change in control, promotes stability and continuity of operations.</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Director Candidates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noted above, the Compensation and Nominating Committee has responsibility for recommending nominees for election as directors of Forrester. Our stockholders may recommend individuals for this committee to consider as potential director candidates by submitting their names and background to the “Forrester Research Compensation and Nominating Committee”, c/o Chief Legal Officer and Secretary, 60 Acorn Park Drive, Cambridge, MA 02140. The Compensation and Nominating Committee will consider a recommended candidate for the next annual meeting of stockholders only if biographical information and background material are provided no later than the date specified below under “Stockholder Proposals” for receipt of director nominations.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process that the Compensation and Nominating Committee will follow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Compensation and Nominating Committee. Assuming that biographical and background material is provided for candidates recommended by the stockholders, the Compensation and Nominating Committee will evaluate those candidates by following substantially the same process, and applying substantially the same criteria, as for candidates submitted by Board members.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considering whether to recommend any candidate for inclusion in the Board’s slate of recommended director nominees, including candidates recommended by stockholders, the Compensation and Nominating Committee will apply the criteria set forth in the committee’s charter and in the Corporate Governance Guidelines. These criteria include, among others, the candidate’s integrity, age, experience, commitment, diligence, conflicts of interest, and the ability to act in the interests of all stockholders. The Compensation and Nominating Committee does not assign specific weights to particular criteria and no particular criterion is necessarily applicable to all prospective nominees. We believe that the backgrounds and qualifications of the directors, considered as a group, should provide a composite mix of experience, knowledge and abilities, including direct operating experience, that will allow the Board to fulfill its responsibilities.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our by-laws permit stockholders to nominate directors for election at an annual meeting of stockholders, other than as part of the Board’s slate. To nominate a director, in addition to providing certain information about the nominee and the nominating stockholder, the stockholder must give timely notice to Forrester, which, under our advance notice by-law, requires that the notice be received by us no less than 90 nor more than 120 days prior to the anniversary date of the preceding annual meeting of stockholders. In addition, to comply with the universal proxy rules, stockholders who intend to solicit proxies in support of director nominees other than the company’s nominees must also comply with the additional requirements of Rule 14a-19 under the Securities Exchange Act of 1934. In accordance with our by-laws, the 2027 Annual Meeting will be held on May 11, 2027.</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from Stockholders</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Board will give appropriate attention to communications on issues that are submitted by stockholders, and will respond if and as appropriate. Absent unusual circumstances or as contemplated by committee charters, the Compensation and Nominating Committee, with the assistance of the Chief Legal Officer and Secretary, will be primarily responsible for monitoring communications from stockholders and will provide copies of summaries of such communications to the other directors as deemed appropriate.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Stockholders who wish to send communications on any topic to the Board should address such communications to the Forrester Research Compensation and Nominating Committee, c/o Chief Legal Officer and Secretary, Forrester Research, Inc., 60 Acorn Park Drive, Cambridge, MA 02140.</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Forrester recognizes the importance of being accountable not only to our stockholders, but also to a broader range of stakeholders, including our customers, employees and the public in general. Our goal is to effect positive change in society and for our planet through our research, data, and expertise.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culture emphasizes certain key values — including client, courage, collaboration, integrity, and quality — that we believe are critical to deliver Forrester’s unique value proposition of helping business and technology leaders use customer obsession to drive growth. In addition, we seek to foster a culture where employees can be creative, feel supported and empowered, and are encouraged to think boldly about new ideas.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Attracting, retaining, and developing the best and brightest talent around the globe is critical to the ongoing success of our company. To this end, we focus on attracting and the hiring of all backgrounds and perspectives, with the goals of improving employee retention and engagement, strengthening the quality of our research, and improving client retention and customer experience. We field regular all-employee surveys to measure our progress against our goals.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 robust learning and development program and celebrate and enrich the Forrester culture through frequent recognition of achievements. To keep employees and teams connected and inspired to do their best work, we have enhanced the learning and development opportunities for our employees across a broad range of initiatives including new hire and onboarding and leadership training. We also support our employees’ efforts to serve in their local communities by offering each employee the opportunity to take paid volunteer days each calendar year. In addition, we and our employees frequently contribute funds or goods to support philanthropic and community giving efforts. In 2025, our employees dedicated approximately 1,000 hours to serving their local communities. Past initiatives have included employee participation in sponsored charitable events and distribution of goods through select disaster relief organizations.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Forrester also recognizes a shared responsibility to respect and protect the environment. Although our facilities and operations have a small ecological footprint, we reduce the environmental impact of our business through various waste reduction practices, including WELL and LEED certified/eco-friendly buildings, recycling, and battery disposal. In addition, we have invested in multiple technologies to facilitate remote work that can in many cases reduce the need for travel and the related environmental impacts, and our hybrid work policy has significantly reduced the time spent commuting to most of our major offices.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clients trust us with some of their most sensitive confidential information, and we take our obligation to secure it seriously. We have implemented appropriate technical and organizational measures to ensure a level of security appropriate to the risk of disclosure of this information, and we attempt to minimize the amount of personally identifiable information regarding third parties in our possession. When the processing of personally identifiable information is unavoidable, we strive to comply with all applicable laws and regulations, including the European Union General Data Protection Regulation (GDPR), the California Consumer Privacy Act (as amended by the California Privacy Rights Act), and similar data privacy laws of other U.S. states. We have also implemented a Privacy Impact Assessment process to be used before we contract with new vendors of products or services that may have access to confidential and/or personal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implemented an executive compensation program that rewards performance. Our executive compensation program is designed to attract, retain and motivate the key individuals who are most capable of contributing to the success of our Company and building long-term value for our stockholders. The elements of our executives’ total compensation are base salary, cash incentive awards, equity incentive awards and other employee benefits. We have designed a compensation program that makes a substantial portion of executive pay variable, subject to increase when performance targets are exceeded, and subject to reduction when performance targets are not achieved.</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2025 Business Results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2025, we fell short of the financial goals we had set at the beginning of the year, with revenues decreasing by approximately 8% to $396.9 million. Despite this, the Company met its final revenue, adjusted operating margin and adjusted earnings per share guidance for the year.</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for Performance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substantial amount of the total compensation of our executive officers is linked to our performance, both through short-term cash incentive compensation and long-term equity incentive compensation. We believe this aligns our executives’ incentives with our objective of enhancing stockholder value over the longer term.</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u w:val="single" w:color="auto"/>
          <w:color w:val="auto"/>
        </w:rPr>
        <w:t>Cash Compensation</w:t>
      </w:r>
      <w:r>
        <w:rPr>
          <w:rFonts w:ascii="Times New Roman" w:cs="Times New Roman" w:eastAsia="Times New Roman" w:hAnsi="Times New Roman"/>
          <w:sz w:val="18"/>
          <w:szCs w:val="18"/>
          <w:color w:val="auto"/>
        </w:rPr>
        <w:t>. A significant portion of the current cash compensation opportunity for our executive officers is achieved through our Amended and Restated Executive Cash Incentive Plan (the “Executive Cash Incentive Plan”). As described in more detail below, payments under the plan are based on company financial performance metrics (for 2025, the booked sales accounts for the Company's CV products, or “CV bookings”, and modified operating income). By design, our plan pays more when we perform well and less, or nothing, when we do not.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Another key component of compensation for our executive officers consists of long-term equity incentives, both in the form of restricted stock units (RSUs) and, in some cases, stock options. In 2025, all stock options and a portion of the RSUs granted to executive officers vest over time, with 25% to vest annually over four years. Additional RSUs granted in 2025 include a performance-based vesting condition tied to CV growth and Adjusted EBITDA margin in 2027. We believe these awards have retention value and reflect a balance between short-term financial performance and long-term stockholder return, supporting our performance-based compensation. Consistent with past years, we did not grant equity awards in 2025 to George Colony, our Chairman and Chief Executive Officer, who is the beneficial owner of approximately 39% of our common stock.</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Program Changes in 2025</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u w:val="single" w:color="auto"/>
          <w:color w:val="auto"/>
        </w:rPr>
        <w:t>Base Salary and Short-Term Cash Incentive Compensation</w:t>
      </w:r>
      <w:r>
        <w:rPr>
          <w:rFonts w:ascii="Times New Roman" w:cs="Times New Roman" w:eastAsia="Times New Roman" w:hAnsi="Times New Roman"/>
          <w:sz w:val="18"/>
          <w:szCs w:val="18"/>
          <w:color w:val="auto"/>
        </w:rPr>
        <w:t>. Based on a review of market data, and taking into account the contributions of the named executive officers and our financial performance in 2024, during its annual executive compensation review our Compensation and Nominating Committee (the “Committee”) increased, effective April 1, 2025, both the base salaries and the target cash incentive bonus amounts of the named executive officers, other than Mr. Colony, by an average of approximately 4.4% over 2024, as discussed further below. In addition, the Committee approved an increase in Mr. Colony's base salary to $650,000 effective April 1, 2025, after it had been reduced to $1.00 on an annualized basis since May of 2023, as well as a 3.7% reduction in Mr. Colony's target cash incentive bonus amount. Prior to the reduction in May 2023, Mr. Colony's base salary had been $600,000.</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Executive Cash Incentive Plan</w:t>
      </w:r>
      <w:r>
        <w:rPr>
          <w:rFonts w:ascii="Times New Roman" w:cs="Times New Roman" w:eastAsia="Times New Roman" w:hAnsi="Times New Roman"/>
          <w:sz w:val="18"/>
          <w:szCs w:val="18"/>
          <w:color w:val="auto"/>
        </w:rPr>
        <w:t>. In 2025, the Committee reinstated the bonus program under the Executive Cash Incentive Plan after suspending it for 2024.</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u w:val="single" w:color="auto"/>
          <w:color w:val="auto"/>
        </w:rPr>
        <w:t>Long-Term Equity Incentive Compensation</w:t>
      </w:r>
      <w:r>
        <w:rPr>
          <w:rFonts w:ascii="Times New Roman" w:cs="Times New Roman" w:eastAsia="Times New Roman" w:hAnsi="Times New Roman"/>
          <w:sz w:val="18"/>
          <w:szCs w:val="18"/>
          <w:color w:val="auto"/>
        </w:rPr>
        <w:t>. In 2025, the Committee approved annual equity awards to our executive officers, other than Mr. Colony, consisting of a combination of time-based and performance-based RSUs and stock options. This contrasted to 2024, when the Committee determined that the equity awards to our executive officers would consist solely of time-based RSUs.</w:t>
      </w:r>
    </w:p>
    <w:p>
      <w:pPr>
        <w:spacing w:after="0" w:line="17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u w:val="single" w:color="auto"/>
          <w:color w:val="auto"/>
        </w:rPr>
        <w:t>Stock Retention Guidelines</w:t>
      </w:r>
      <w:r>
        <w:rPr>
          <w:rFonts w:ascii="Times New Roman" w:cs="Times New Roman" w:eastAsia="Times New Roman" w:hAnsi="Times New Roman"/>
          <w:sz w:val="18"/>
          <w:szCs w:val="18"/>
          <w:color w:val="auto"/>
        </w:rPr>
        <w:t>. As a result of its annual review of the Company's stock retention guidelines described in more detail below, the Committee decided to update the retention targets for all executive officers and directors to align the targets with changes in annual compensation and stock market fluctuations.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both"/>
        <w:ind w:firstLine="509"/>
        <w:spacing w:after="0" w:line="258" w:lineRule="auto"/>
        <w:rPr>
          <w:sz w:val="20"/>
          <w:szCs w:val="20"/>
          <w:color w:val="auto"/>
        </w:rPr>
      </w:pPr>
      <w:r>
        <w:rPr>
          <w:rFonts w:ascii="Times New Roman" w:cs="Times New Roman" w:eastAsia="Times New Roman" w:hAnsi="Times New Roman"/>
          <w:sz w:val="18"/>
          <w:szCs w:val="18"/>
          <w:u w:val="single" w:color="auto"/>
          <w:color w:val="auto"/>
        </w:rPr>
        <w:t>Say on Pay Stockholder Vote</w:t>
      </w:r>
      <w:r>
        <w:rPr>
          <w:rFonts w:ascii="Times New Roman" w:cs="Times New Roman" w:eastAsia="Times New Roman" w:hAnsi="Times New Roman"/>
          <w:sz w:val="18"/>
          <w:szCs w:val="18"/>
          <w:color w:val="auto"/>
        </w:rPr>
        <w:t>. As we have done each year since 2011, in 2025 we submitted our executive compensation program to an advisory vote of our stockholders and, consistent with the results of our previous say on pay votes, it received the support of 99% of the total votes cast at our annual meeting. We pay careful attention to any feedback we receive from our stockholders about our executive compensation program, including the say on pay vote. The Committee considered this feedback when setting our executive cash compensation program and granting equity awards to executives in 2025 and will continue to consider stockholder feedback in its subsequent executive compensation decision making.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Objectives and Strategy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primary purpose of our executive compensation program is to attract, retain and motivate the key individuals who are most capable of contributing to the success of our Company and building long-term value for our stockholders. Our principal objectives and strategy concerning our executive compensation program are as follows:</w:t>
      </w:r>
    </w:p>
    <w:p>
      <w:pPr>
        <w:spacing w:after="0" w:line="68"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achievement of key Company values — including client service, quality, collaboration, courage and integrity — that we believe are critical to our continued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cash compensation on individual attainment of goals and responsibility, teamwork, and our short-term financial performance;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employees’ incentives with our objective of enhancing stockholder value over the longer term through long-term incentives, principally in the form of stock options and RSUs vesting over time and RSUs subject to performance conditions;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individual excellence and encourage employees at all levels, as well as executive officers, to take initiative and lead individual projects that enhance our performance.</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These objectives and strategy are reviewed each year by the Committee, which oversees our executive compensation program. In furtherance of these objectives, the Committee takes the following actions each year:</w:t>
      </w:r>
    </w:p>
    <w:p>
      <w:pPr>
        <w:spacing w:after="0" w:line="54" w:lineRule="exact"/>
        <w:rPr>
          <w:sz w:val="20"/>
          <w:szCs w:val="20"/>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performance of George Colony, our Chairman and Chief Executive Officer, including his demonstration of leadership and his overall contribution to the financial performance of the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assessment by Mr. Colony of the performance of the other executive officers against their individual and team goals;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company-wide financial goals that are used in the calculation of the cash incentive compensation for our executives;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all components of compensation for each executive officer: base salary, short-term cash incentive compensation, and long-term equity incentive compensation;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assesses relevant market data;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executive sessions (without our management present) as appropriate to accomplish the above actions.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Mr. Colony also plays a substantial role in the compensation process for the other executive officers, primarily by recommending annual goals for the executives reporting directly to him, evaluating their performance against those goals, and providing recommendations on their compensation to the Committee.</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Committee did not engage an independent compensation consultant in 2025 for its general executive compensation analysis because the members were comfortable relying on their independent review of the market data, surveys and other supporting information provided by management, taking into account that the Company does not offer special perquisites, deferred compensation plans, or other special executive compensation arrangements. The Committee believes it is adequately experienced to address relevant issues and discharge its responsibilities consistent with the Company’s compensation objectives and philosophy.</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Committee has not historically used formal benchmarking data to establish compensation levels but has relied instead on relevant market data and surveys to design compensation packages that it believes are competitive with other similarly situated companies or those with whom we compete for talent. While compensation surveys provide useful data for comparative purposes, the Committee believes that successful compensation programs also require the application of sound judgment and subjective determinations of individual and Company performance.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Committee believes it is helpful to utilize data compiled from a wide array of companies and believes it important to consider comparative data from companies of comparable size and revenue, operating within a comparable industry, and located or operating within our principal geographic markets. In setting executive compensation for 2025, the Committee primarily considered data from the Radford Global Compensation Database, which included companies with annual revenues from $200 million to $1 billion, as well as comparable companies in the industries and geographies applicable to our executives. For each of the Company’s executive officers, the data the Committee reviewed included comparative market percentiles for base salary, total annual cash compensation opportunity (or “on-target earnings”), and total direct compensation (on-target earnings plus equity incentives). The Committee determined that each of the compensation components of the named executive officers, other than Mr. Colony, were aligned with the comparative market data considering experience, role criticality, and performance and, accordingly, made its decisions regarding 2025 executive compensation with the goal of maintaining that status.</w:t>
      </w:r>
    </w:p>
    <w:p>
      <w:pPr>
        <w:spacing w:after="0" w:line="18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Since Mr. Colony owns such a substantial percentage of our common stock, the Committee references the available market data on chief executive officer compensation for comparison purposes put does not place substantial weight on that data when setting his executive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for our named executive officers consists of the following principal components:</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cash incentive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compensation, principally in the form of stock options and RSUs;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change-of-control benefits;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 available generally to all full-time employees.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do not have an express policy for weighting different elements of compensation or for allocating between long-term and short-term compensation, but we do attempt to maintain compensation packages that will advance our overall compensation objectives. In reviewing and setting the compensation of each executive officer, we consider the individual’s position with the Company and his or her ability to contribute to achievement of strategic and financial objectives.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2025, as illustrated below, base salaries for our named executive officers, other than Mr. Colony, represented an average of approximately 33.0% of total target compensation for these individuals, while the base salary for Mr. Colony represented 50.0% of his total target compensation. Because of Mr. Colony’s significant ownership of our common stock, the Committee generally does not grant equity-based awards to him, resulting in a higher ratio of base salary to total target compensation than that of the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5314950" cy="17233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14950" cy="172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The Committee approves the base salaries of our named executive officers annually by evaluating the responsibilities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the experience and performance of the individual, and as necessary or appropriate, survey and market data. The base salary of a named executive officer is also considered together with the other components of his or her compensation to ensure that both the executive’s total cash compensation opportunity (or “on-target earnings”) and the allocation between base salary and variable compensation for the executive are in line with our overall compensation philosophy and business strategy. Additionally, the Committee may adjust base salary more frequently than annually to address retention issues or to reflect promotions or other changes in the scope or breadth of an executive’s role or responsibilities.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goal is to pay base salaries to our named executive officers that are competitive with the base salaries of companies that are similarly situated or with which we compete to attract and retain executives, while taking into account total on-target earnings, and remaining consistent with our overall compensation objectives with respect to variable compensation. In February 2025, taking into account the market data discussed above, the respective tenures, experience and performance of the named executive officers and our financial performance in 2024, the Committee decided to increase the base salaries of the named executive officers, other than Mr. Colony, by an average of 4.4% over 2024, with such changes effective as of April 1, 2025. In addition, the Committee approved an increase in Mr. Colony's base salary to $650,000 effective April 1, 2025, after it had been reduced to $1.00 on an annualized basis since May of 2023. Prior to such reduction, Mr. Colony's base salary had been $600,000.</w:t>
      </w:r>
    </w:p>
    <w:p>
      <w:pPr>
        <w:spacing w:after="0" w:line="187"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Short-Term Cash Incentive Compensation</w:t>
      </w:r>
      <w:r>
        <w:rPr>
          <w:rFonts w:ascii="Times New Roman" w:cs="Times New Roman" w:eastAsia="Times New Roman" w:hAnsi="Times New Roman"/>
          <w:sz w:val="18"/>
          <w:szCs w:val="18"/>
          <w:color w:val="auto"/>
        </w:rPr>
        <w:t>. A significant portion of each of our named executive officers’ total annual cash compensation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dependent on our achievement of annual financial objectives set forth under our Executive Cash Incentive Plan. In 2025, the Committee reinstated the bonus program under the Executive Cash Incentive Plan after suspending it for 2024. Payouts under the plan are made annually in arrears.</w:t>
      </w:r>
    </w:p>
    <w:p>
      <w:pPr>
        <w:spacing w:after="0" w:line="1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 individual named executive officer’s annual bonus payout under the Executive Cash Incentive Plan is based on the following factors, which are discussed in more detail below:</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target award;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performance;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named executive officer’s individual and/or team performance.</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Effective April 1, 2025, as part of its executive compensation reviews, the Committee increased the target cash incentive bonus amounts for each of the named executive officers, other than Mr. Colony, by an average of approximately 4.4%, taking into account the Company’s financial performance in 2024, the market data discussed above, and the respective tenures, experience and performance of our named executive officers. Also effective April 1, 2025, the Committee decreased the target cash incentive bonus amount for Mr. Colony from $675,000 to $650,000. After giving effect to these adjustments, the average annual target cash incentive bonus amount for our named executive officers was approximately 73.3% of that person’s base salary.</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purposes of the Executive Cash Incentive Plan, the financial performance of our Company for 2025 was measured based on booked sales accounts of our CV products (referred to as “CV bookings”) and modified operating income. Generally speaking, we define CV products as those services that our clients use over a year’s time and that are renewable periodically, usually on an annual basis. Our CV products primarily consist of our subscription research products. Because CV products are our most profitable products and historically our contracts for CV products have renewed at high rates (as measured by our client retention and wallet retention metrics), the Company views CV as one of its key metrics. The Committee also selected CV bookings as one of the metrics because we believe that CV bookings provide an important measure of our current business activity and estimated future revenues.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define modified operating income to mean the Company’s operating income assuming cash incentive compensation payouts under the Executive Cash Incentive Plan and the Forrester Employee Bonus Plan at target levels and excluding amortization of acquisition-related intangible assets, restructuring costs, costs associated with acquisition activities, stock-based compensation and other non-recurring items. The Committee selected modified operating income as the other key metric because we believe modified operating income provides a comprehensive measure of our financial performance that takes into account the importance of both revenue growth and expense management. In addition, by linking payouts under the plan to the Company’s profitability, we provide our employees with the opportunity to share in our profits while assuring that payouts are only made if we achieve a satisfactory, pre-approved level of profitability, taking into account the nature of our business, planned investments to support growth of the business, and the economic environment.</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Committee may adjust the CV bookings and modified operating income metrics, as it deems appropriate, to include or exclude particular non-recurring items to avoid unanticipated results and to promote, and provide appropriate incentives for, actions and decisions that are in the best interests of the Company and its stockholders.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Executive Cash Incentive Plan was structured as follows in 2025, similar in structure to that in recent years (other than 2024, during which the bonus program was suspended):</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matrix for 2025 containing CV bookings on the x axis and modified operating income on the y axis was approved by the Committee under the plan based on the Company’s 2025 operating plan approved by the Board of Directors. Minimum CV bookings and modified operating</w:t>
      </w:r>
    </w:p>
    <w:p>
      <w:pPr>
        <w:jc w:val="both"/>
        <w:ind w:left="1020"/>
        <w:spacing w:after="0" w:line="250" w:lineRule="auto"/>
        <w:rPr>
          <w:sz w:val="20"/>
          <w:szCs w:val="20"/>
          <w:color w:val="auto"/>
        </w:rPr>
      </w:pPr>
      <w:r>
        <w:rPr>
          <w:rFonts w:ascii="Times New Roman" w:cs="Times New Roman" w:eastAsia="Times New Roman" w:hAnsi="Times New Roman"/>
          <w:sz w:val="18"/>
          <w:szCs w:val="18"/>
          <w:color w:val="auto"/>
        </w:rPr>
        <w:t>income levels were set taking into account the Company’s recent levels of CV bookings and modified operating income and planned investments to support growth of the business. Failure of our Company to meet either of these minimum levels would result in each executive officer being ineligible to receive any bonus payout.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1020"/>
        <w:spacing w:after="0" w:line="282" w:lineRule="auto"/>
        <w:rPr>
          <w:sz w:val="20"/>
          <w:szCs w:val="20"/>
          <w:color w:val="auto"/>
        </w:rPr>
      </w:pPr>
      <w:r>
        <w:rPr>
          <w:rFonts w:ascii="Times New Roman" w:cs="Times New Roman" w:eastAsia="Times New Roman" w:hAnsi="Times New Roman"/>
          <w:sz w:val="18"/>
          <w:szCs w:val="18"/>
          <w:color w:val="auto"/>
        </w:rPr>
        <w:t>minimum, target and maximum levels of CV bookings and modified operating income under the Executive Cash Incentive Plan approved by the Committee were as follows (all dollars in thousands):</w:t>
      </w:r>
    </w:p>
    <w:p>
      <w:pPr>
        <w:spacing w:after="0" w:line="14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vMerge w:val="restart"/>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CV</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Modified</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Bookings</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Minimum</w:t>
            </w:r>
          </w:p>
        </w:tc>
        <w:tc>
          <w:tcPr>
            <w:tcW w:w="2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276,000</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18,915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Target</w:t>
            </w:r>
          </w:p>
        </w:tc>
        <w:tc>
          <w:tcPr>
            <w:tcW w:w="2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306,000</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37,830</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Maximum</w:t>
            </w:r>
          </w:p>
        </w:tc>
        <w:tc>
          <w:tcPr>
            <w:tcW w:w="2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337,000</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47,288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target CV bookings and modified operating income were both exactly achieved, the Executive Cash Incentive Plan allowed for the payment of 100% of a named executive officer’s target award.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both CV bookings and modified operating income were above the minimum thresholds but neither exceeded the target, the bonus payout would be between 0% and 100% of the target award.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both CV bookings and modified operating income were above the minimum thresholds but only modified operating income exceeded the target, the bonus payout would be between 88% and 144% of the target award.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both CV bookings and modified operating income were above the minimum thresholds but only CV bookings exceeded the target, the bonus payout would be between 12% and 113% of the target award.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both of the applicable target CV bookings and modified operating income were exceeded, the plan allowed for the payment of up to 156% of a named executive officer’s target award.</w:t>
      </w:r>
    </w:p>
    <w:p>
      <w:pPr>
        <w:spacing w:after="0" w:line="14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actual CV bookings and modified operating income for 2025 were $282.4 million and $19.5 million, respectively, resulting in 2% of each named executive officer’s target award being payable, as is set forth in the Summary Compensation Table under the heading “Non-Equity Incentive Plan Compensation.” This illustrates the pay for performance structure of the compensation awarded to our named executive officers, as our 2025 CV bookings and modified operating income were both substantially below our target levels. Following its determination of the payout amount to the named executive officers under the Executive Cash Incentive Plan, the Committee considered the contributions of our named executive officers to expense management and evaluated the Company’s performance during a challenging 2025. Based on that evaluation, the Committee determined to award each of the named executive officers a discretionary cash bonus equal to 25% of such officer’s target award under the Executive Cash Incentive Plan as of December 31, 2025, as is set forth in the Summary Compensation Table under the heading “Bonus.” The Committee similarly approved discretionary cash bonuses of up to 52% of the applicable target awards for employees of the Company participating in the Forrester Employee Bonus Plan .</w:t>
      </w:r>
    </w:p>
    <w:p>
      <w:pPr>
        <w:spacing w:after="0" w:line="15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Long-term Equity Incentive Compensation</w:t>
      </w:r>
      <w:r>
        <w:rPr>
          <w:rFonts w:ascii="Times New Roman" w:cs="Times New Roman" w:eastAsia="Times New Roman" w:hAnsi="Times New Roman"/>
          <w:sz w:val="18"/>
          <w:szCs w:val="18"/>
          <w:color w:val="auto"/>
        </w:rPr>
        <w:t>. Our annual equity awards to executive officers historically have consisted of time-based RSUs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years like 2025, performance-based RSUs and time-based stock options granted under our equity incentive plan.</w:t>
      </w:r>
    </w:p>
    <w:p>
      <w:pPr>
        <w:spacing w:after="0" w:line="14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stock-based compensation awards granted to our executive officers are granted by the Committee. We believe that stock-based awards help to motivate and retain executives and also align management’s incentives with long-term stock price appreciation. In general, we believe that the combination of time-based and performance-based equity awards serves to encourage retention while further aligning the interests of executives and stockholders, as the awards have value only if the recipient continues to provide service to the Company through the vesting date and (in the case of stock options) our stock price increases from that at grant date or (in the case of performance-based RSUs) performance metrics are met. In addition, while time-based RSUs have immediate compensatory value to the recipient upon vesting, increases in our share price provide significant additional compensatory value to the recipient, and decreases in the share price reduce the original compensation value of the award. Neither the Company nor our board of directors, including the Committee, has any plan, program or practice of timing equity incentive awards in coordination with the release or withholding of material non-public information.</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determining the size and nature of stock-based awards for 2025, the Committee considered the aggregate number of stock-based awards outstanding relative to the Company’s total shares outstanding, the retentive value of outstanding stock-based awards (including the performance-based RSUs and stock options awarded to certain of the named executive officers in 2023), the average aggregate size of stock-based awards made to executive officers of companies that are similarly situated or with which we compete to attract and retain executives, and the individuals that they believed were most likely to contribute to or influence a return to the Company’s historical growth levels and improvement in the Company’s operating margin. On March 20, 2025, the Committee reviewed and approved the grant of time-based RSUs, performance-based RSUs (PSUs), and time-based stock options to each of Ryan Darrah, our Chief Legal Officer and Secretary, Chris Finn, our Chief Financial Officer, Carrie Johnson, our Chief Product Officer, Sharyn Leaver, our Chief Research Officer, and Nate Swan, our Chief Sales Officer, effective April 1, 2025, as follows: Mr. Darrah was granted 21,666 RSUs, 10,833 PSUs, and 23,333 stock options; Mr. Finn was granted 33,333 RSUs, 16,666 PSUs, and 66,666 stock options; Ms. Johnson was granted 33,333 RSUs, 16,666 PSUs, and 66,666 stock options; Ms. Leaver was granted 25,000 RSUs, 12,500 PSUs, 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33,333 stock options; and Mr. Swan was granted 33,333 RSUs, 16,666 PSUs, and 66,666 stock options. The Committee determined that the time-based RSUs and stock options would vest 25% annually over four years. The stock options were granted at an exercise price of $9.36, which was equal to the closing market price of our common stock on the grant date of April 1, 2025.</w:t>
      </w:r>
    </w:p>
    <w:p>
      <w:pPr>
        <w:spacing w:after="0" w:line="14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Each PSU granted to the named executive officers in 2025 entitles the applicable officer to receive on or after March 1, 2028, prior to deducting the applicable number of shares necessary to satisfy withholding tax obligations, one share of the Company's common stock, if each of the two performance levels described below are met and the officer remains employed by the Company. The first performance metric is the Company's CV as of December 31, 2027 (referred to as Measurement Year CV), as reported along with the release of our consolidated financial results for the fiscal year ending December 31, 2027, and as adjusted to reflect the foreign currency rates used to calculate the Company's CV reported for the year ended December 31, 2024. The second performance metric is the Company's Adjusted EBITDA margin for the year ending December 31, 2027 (referred to as Measurement Year Adjusted EBITDA Margin), defined as our consolidated adjusted income from operations plus depreciation, divided by total revenues, as reported along with the release of our consolidated financial results for the year ending December 31, 2027. If both target performance levels are exactly met, the PSUs will vest at 100%. Failure to achieve the minimum performance threshold for CV will result in forfeiture of all of the PSUs. If the Company achieves the minimum performance level for CV, a number of PSUs equal to 75% of the total PSUs (referred to as the "CV Growth PSUs") will vest as follows. The aggregate number of CV Growth PSUs that will vest will be equal to the CV Growth PSUs multiplied by the applicable percentage set forth in the table below. If Measurement Year CV falls between two of the percentiles below, the applicable percentage will be interpolated on a straight-line basis.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Measurement Year CV</w:t>
            </w:r>
          </w:p>
        </w:tc>
        <w:tc>
          <w:tcPr>
            <w:tcW w:w="540" w:type="dxa"/>
            <w:vAlign w:val="bottom"/>
          </w:tcPr>
          <w:p>
            <w:pPr>
              <w:spacing w:after="0"/>
              <w:rPr>
                <w:sz w:val="13"/>
                <w:szCs w:val="1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Percentage</w:t>
            </w:r>
          </w:p>
        </w:tc>
        <w:tc>
          <w:tcPr>
            <w:tcW w:w="0" w:type="dxa"/>
            <w:vAlign w:val="bottom"/>
          </w:tcPr>
          <w:p>
            <w:pPr>
              <w:spacing w:after="0"/>
              <w:rPr>
                <w:sz w:val="1"/>
                <w:szCs w:val="1"/>
                <w:color w:val="auto"/>
              </w:rPr>
            </w:pPr>
          </w:p>
        </w:tc>
      </w:tr>
      <w:tr>
        <w:trPr>
          <w:trHeight w:val="173"/>
        </w:trPr>
        <w:tc>
          <w:tcPr>
            <w:tcW w:w="7680" w:type="dxa"/>
            <w:vAlign w:val="bottom"/>
            <w:tcBorders>
              <w:bottom w:val="single" w:sz="8" w:color="auto"/>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CV Growth PSUs</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90% of CV Growth Target (Minimum CV Growth Threshold)</w:t>
            </w:r>
          </w:p>
        </w:tc>
        <w:tc>
          <w:tcPr>
            <w:tcW w:w="3560" w:type="dxa"/>
            <w:vAlign w:val="bottom"/>
            <w:gridSpan w:val="2"/>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 of CV Growth Target</w:t>
            </w:r>
          </w:p>
        </w:tc>
        <w:tc>
          <w:tcPr>
            <w:tcW w:w="356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CV Growth Target</w:t>
            </w:r>
          </w:p>
        </w:tc>
        <w:tc>
          <w:tcPr>
            <w:tcW w:w="3560" w:type="dxa"/>
            <w:vAlign w:val="bottom"/>
            <w:gridSpan w:val="2"/>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7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 of CV Growth Target</w:t>
            </w:r>
          </w:p>
        </w:tc>
        <w:tc>
          <w:tcPr>
            <w:tcW w:w="356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the Company achieves the minimum performance levels for both CV and Adjusted EBITDA Margin, a number of PSUs equal to 25% of the total PSUs (referred to as the "Adjusted EBITDA Margin PSUs") will vest as follows. The aggregate number of Adjusted EBITDA Margin PSUs that will vest will be equal to the Adjusted EBITDA Margin PSUs multiplied by the applicable percentage set forth in the table below. If Measurement Year Adjusted EBITDA Margin falls between two of the percentiles below, the applicable percentage will be interpolated on a straight-line basis.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Measurement Year</w:t>
            </w:r>
          </w:p>
        </w:tc>
        <w:tc>
          <w:tcPr>
            <w:tcW w:w="280" w:type="dxa"/>
            <w:vAlign w:val="bottom"/>
          </w:tcPr>
          <w:p>
            <w:pPr>
              <w:spacing w:after="0"/>
              <w:rPr>
                <w:sz w:val="13"/>
                <w:szCs w:val="13"/>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Percentage of</w:t>
            </w:r>
          </w:p>
        </w:tc>
      </w:tr>
      <w:tr>
        <w:trPr>
          <w:trHeight w:val="173"/>
        </w:trPr>
        <w:tc>
          <w:tcPr>
            <w:tcW w:w="7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 EBITDA Margin</w:t>
            </w:r>
          </w:p>
        </w:tc>
        <w:tc>
          <w:tcPr>
            <w:tcW w:w="280" w:type="dxa"/>
            <w:vAlign w:val="bottom"/>
          </w:tcPr>
          <w:p>
            <w:pPr>
              <w:spacing w:after="0"/>
              <w:rPr>
                <w:sz w:val="15"/>
                <w:szCs w:val="15"/>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 EBITDA Margin PSUs</w:t>
            </w:r>
          </w:p>
        </w:tc>
      </w:tr>
      <w:tr>
        <w:trPr>
          <w:trHeight w:val="191"/>
        </w:trPr>
        <w:tc>
          <w:tcPr>
            <w:tcW w:w="748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One % point below Adjusted EBITDA Margin Target (Minimum Adjusted EBITDA Margin</w:t>
            </w:r>
          </w:p>
        </w:tc>
        <w:tc>
          <w:tcPr>
            <w:tcW w:w="280" w:type="dxa"/>
            <w:vAlign w:val="bottom"/>
            <w:shd w:val="clear" w:color="auto" w:fill="CFF0FC"/>
          </w:tcPr>
          <w:p>
            <w:pPr>
              <w:spacing w:after="0"/>
              <w:rPr>
                <w:sz w:val="16"/>
                <w:szCs w:val="16"/>
                <w:color w:val="auto"/>
              </w:rPr>
            </w:pPr>
          </w:p>
        </w:tc>
        <w:tc>
          <w:tcPr>
            <w:tcW w:w="3480" w:type="dxa"/>
            <w:vAlign w:val="bottom"/>
            <w:shd w:val="clear" w:color="auto" w:fill="CFF0FC"/>
          </w:tcPr>
          <w:p>
            <w:pPr>
              <w:spacing w:after="0"/>
              <w:rPr>
                <w:sz w:val="16"/>
                <w:szCs w:val="16"/>
                <w:color w:val="auto"/>
              </w:rPr>
            </w:pPr>
          </w:p>
        </w:tc>
      </w:tr>
      <w:tr>
        <w:trPr>
          <w:trHeight w:val="234"/>
        </w:trPr>
        <w:tc>
          <w:tcPr>
            <w:tcW w:w="7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Threshold)</w:t>
            </w:r>
          </w:p>
        </w:tc>
        <w:tc>
          <w:tcPr>
            <w:tcW w:w="37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Adjusted EBITDA Margin Target</w:t>
            </w:r>
          </w:p>
        </w:tc>
        <w:tc>
          <w:tcPr>
            <w:tcW w:w="37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7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One % point above Adjusted EBITDA Margin Target</w:t>
            </w:r>
          </w:p>
        </w:tc>
        <w:tc>
          <w:tcPr>
            <w:tcW w:w="37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125%</w:t>
            </w:r>
          </w:p>
        </w:tc>
      </w:tr>
      <w:tr>
        <w:trPr>
          <w:trHeight w:val="234"/>
        </w:trPr>
        <w:tc>
          <w:tcPr>
            <w:tcW w:w="7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Two % points above Adjusted EBITDA Margin Target</w:t>
            </w:r>
          </w:p>
        </w:tc>
        <w:tc>
          <w:tcPr>
            <w:tcW w:w="37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150%</w:t>
            </w:r>
          </w:p>
        </w:tc>
      </w:tr>
    </w:tbl>
    <w:p>
      <w:pPr>
        <w:spacing w:after="0" w:line="16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maximum number of shares that can vest under each PSU award is 150% of the original grant amount. The Committee decided that using scaled metrics was appropriate to achieve the objectives of longer-term strategic thinking and retention of key talent, taking into account planned investments to support growth in the business and the overall business environment. The Committee may appropriately adjust any evaluation of performance to the extent deemed necessary to take into account non-recurring items including, but not limited to, acquisitions, divestitures or significant restructuring charges.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Given Mr. Colony’s significant ownership of our common stock, the Committee did not grant stock options, RSUs or PSUs to Mr. Colony in 2025.</w:t>
      </w:r>
    </w:p>
    <w:p>
      <w:pPr>
        <w:spacing w:after="0" w:line="22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Severance and Change in Control Agreements</w:t>
      </w:r>
      <w:r>
        <w:rPr>
          <w:rFonts w:ascii="Times New Roman" w:cs="Times New Roman" w:eastAsia="Times New Roman" w:hAnsi="Times New Roman"/>
          <w:sz w:val="18"/>
          <w:szCs w:val="18"/>
          <w:color w:val="auto"/>
        </w:rPr>
        <w:t>. Effective May 15, 2014, we adopted the Forrester Research, Inc. Executive Severance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Plan”), applicable to all of our executive officers, including the named executive officers. Similar to plans maintained by many other companies, our Severance Plan provides for payments and benefits to our executive officers upon a qualifying termination of employment, including in connection with a change in control. Further detail on the Severance Plan is contained below under the heading “Severance and Change-of-Control Benefits.” We believe that the Severance Plan functions as a retention tool for our executive officers to remain with the Company and enable the executive officers to focus on the continuing business operations and, as applicable, the success of a potential business combination that the Board of Directors has determined to be in the best interests of the stockholders. We believe this results in stability and continuity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employees of our Company, our executive officers are eligible to participate in all Company-sponsored benefit programs on the same basis as other full-time employees, including health and dental insurance and life and disability insurance. In addition, our executive officers are eligible to receive the same employer match under our 401(k) plan as is applicable for all participating employees and to participate in our employee stock purchase plan, pursuant to which participants may elect to purchase shares of our stock on a semi-annual basis at a 15% discount based on the lower of the price of our stock at the beginning and end of each period. We do not offer any supplemental executive health and welfare or retirement programs, or provide any other supplemental benefits or perquisites, to our executives.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Retention Guidelines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include stock retention guidelines to further align the interests of our directors and executive officers with those of our stockholders. Members of our executive team and Board of Directors are subject to these stock retention guidelines for so long as they remain an executive officer, or serve as a director, of the Company.</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guidelines require directors of the Company to acquire and hold during their service as a Forrester Board member shares of Forrester’s common stock (“Common Stock”) equal in value to at least two times their total annual compensation from Forrester (including cash retainer and grant date value of equity grants) as in effect on April 1, 2025 (or, if later, the date of commencement of Board service or such other date as the Committee shall designate). Directors have five years from the date of commencement of their Board service to meet the target stock ownership guideline.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Executive officers of the Company are required to acquire and hold during their service as a Forrester executive team member shares of Common Stock equal in value to at least one times their total annual on-target earnings (defined as base salary plus total annual cash compensation opportunity) as in effect on April 1, 2025 (or, if later, the date of commencement of executive team service or such other date as the Committee shall designate). Executive officers have five years from the date of commencement of executive team service to meet the target stock ownership guideline.</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July of 2025 the Committee determined that the retention targets for all executive officers and directors would be adjusted, effective immediately, using the 200 day moving average closing stock price of the Company as of April 1, 2025 and the on-target earnings (for executive officers) and total compensation (for directors) as of April 1, 2025 for purposes of calculating such targets.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Until such time as a director or officer reaches his or her share ownership guideline, the director or officer may sell shares of Common Stock only to the extent that, subsequent to such sale, such director or officer continues to hold more shares than he or she held as of December 31 of the preceding year. In addition, if a director or officer has not reached his or her share ownership guideline within the required accumulation period, he or she will be required to retain 100% of the net shares of Forrester common stock delivered to him or her upon the exercise or vesting of stock awards held by him or her until such guideline is reached. Net shares are the number of shares remaining after shares are sold or netted to pay the exercise price of stock options and withholding taxes. For directors, the applicable withholding taxes will be presumed to be the minimum withholding tax applicable to an employee. All directors and executive officers are expected to continuously own sufficient shares to meet the guideline once it has been reached. Unexercised stock options and unvested restricted stock units will not count toward meeting the stock ownership guidelines.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guidelines may be waived, at the discretion of the Committee, if compliance with the guidelines would create severe hardship or prevent an executive officer or director from complying with a court order. The Committee will reassess these guidelines on an annual basis, taking into account factors such as compensation and stock price changes. Our directors and executive officers have complied in full with these guidelines since their initial adoption.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Tax and Accounting on Compensation Decisions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federal tax legislation enacted in December 2017, compensation paid to certain of our executive officers in excess of $1 million per person per year will not be deductible unless it qualifies for transition relief applicable to certain compensation arrangements in place as of November 2, 2017 and not later materially modified.</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Committee believes that the interests of our stockholders are best served if the Committee continues to retain flexibility and discretion to approve and amend compensation plans, agreements and arrangements to support our corporate objectives, even if a plan, agreement or arrangement does not qualify for full or partial tax deductibility and even if an amendment results in a loss or limitation of tax deductibility. Despite the changes as a result of the 2017 tax legislation, the Committee currently expects (consistent with its executive compensation philosophy) to structure executive compensation programs such that a significant portion of executive compensation is linked to our performance.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The Committee also takes into consideration the accounting treatment of the different forms of awards it may grant to executive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Compensation and Nominating Committee of the Board of Directors has reviewed and discussed the Compensation Discussion and Analysis included in this proxy statement with management and, based on this review and discussion, recommended to the Board of Directors that the Compensation Discussion and Analysis be included in this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Nominating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Friscia,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Bennett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Corinne Munchbach</w:t>
      </w:r>
    </w:p>
    <w:p>
      <w:pPr>
        <w:spacing w:after="0" w:line="20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information contained in the report above shall not be deemed to be “soliciting material” or to be “filed” with the SEC, nor shall such information be incorporated by reference into any future filing under the Securities Act of 1933, as amended, or the Securities Exchange Act of 1934, as amended, except to the extent that we specifically incorporate it by reference in any such filing.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compensation earned by our Chief Executive Officer, our Chief Financial Officer, each of our three other most highly compensated executive officers as of December 31, 2025, and one of our other highly compensated executive officers who ceased serving as an executive officer in October 2025. We refer to these officers as the “named executive officers.”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2"/>
                <w:szCs w:val="12"/>
                <w:color w:val="auto"/>
              </w:rPr>
            </w:pPr>
          </w:p>
        </w:tc>
        <w:tc>
          <w:tcPr>
            <w:tcW w:w="11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5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George F. Colony</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472,500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673,332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Chairman of the Board and</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182,250</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207,993</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 Christian Finn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435,240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82,683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467,991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225,564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1,232,668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499,982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420,275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125,993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746,862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430,930</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19,894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Ryan Darrah</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360,177</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45,500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304,191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78,947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Chief Legal Officer and Secretary</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Carrie Johnson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440,447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83,672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467,991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225,564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1,238,739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Product Officer</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499,982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19,169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425,300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746,862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430,930</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17,820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1,748,412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Sharyn Leaver</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386,504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351,000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112,782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922,098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Chief Research Officer</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349,986</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800,368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485,449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323,191</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1,282,982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Nate Swan(4)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409,242</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467,991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225,564</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1,119,073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Sales Officer</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420,600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90,720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499,982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410,858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234,400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746,845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430,930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21,257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1,845,290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23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2"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2025 represent discretionary bonuses approved by the Committee.</w:t>
      </w:r>
    </w:p>
    <w:p>
      <w:pPr>
        <w:spacing w:after="0" w:line="27"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aggregate grant date fair value of time-based and performance-based restricted stock unit and time-based option awards. Assumptions used in the calculation of option awards are included in footnote 1 to the Company’s consolidated financial statements included in our 2025 Annual Report on Form 10-K. The grant date fair value of restricted stock units is based upon the closing price of the Company’s common stock on the date of grant. For purposes of calculating the grant date fair value of performance awards, we assume that the target performance criteria will be achieved and 100% of each award will vest. The grant date fair value of all 2025 time-based restricted stock units is as follows: Mr. Finn, $311,997; Mr. Darrah, $202,794; Ms. Johnson, $311,997; Ms. Leaver, $234,000; and Mr. Swan, $311,997. The grant date fair value of all 2025 performance-based restricted stock units, assuming attainment of the highest level of the performance conditions, which is capped at 150% of target, is as follows: Mr. Finn, $233,991; Mr. Darrah, $152,095; Ms. Johnson, $233,991; Ms. Leaver, $175,500; and Mr. Swan, $233,991. The amounts set forth in the above table may be more or less than the value ultimately realized by the named executive officer based upon, among other things, the value of the Company’s common stock at the time of exercise of the options or vesting of the restricted stock units and whether such options or restricted stock units actually vest.</w:t>
      </w:r>
    </w:p>
    <w:p>
      <w:pPr>
        <w:spacing w:after="0" w:line="4"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amounts include the following amounts of Company matching contributions under our 401(k) plan: Mr. Colony, $10,500; Mr. Finn, $10,500; Mr. Darrah, $10,500; Ms. Johnson, $10,500; Ms. Leaver, $6,700; and Mr. Swan, $10,500. Other amounts consist of group term life insurance premiums and miscellaneous other items.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disclosed in the Company's Form 8-K filed October 31, 2025, Mr. Swan ceased serving as an executive officer of the Company, effective</w:t>
      </w:r>
    </w:p>
    <w:p>
      <w:pPr>
        <w:spacing w:after="0" w:line="9" w:lineRule="exact"/>
        <w:rPr>
          <w:sz w:val="20"/>
          <w:szCs w:val="20"/>
          <w:color w:val="auto"/>
        </w:rPr>
      </w:pPr>
    </w:p>
    <w:p>
      <w:pPr>
        <w:ind w:left="520"/>
        <w:spacing w:after="0" w:line="250" w:lineRule="auto"/>
        <w:rPr>
          <w:sz w:val="20"/>
          <w:szCs w:val="20"/>
          <w:color w:val="auto"/>
        </w:rPr>
      </w:pPr>
      <w:r>
        <w:rPr>
          <w:rFonts w:ascii="Times New Roman" w:cs="Times New Roman" w:eastAsia="Times New Roman" w:hAnsi="Times New Roman"/>
          <w:sz w:val="18"/>
          <w:szCs w:val="18"/>
          <w:color w:val="auto"/>
        </w:rPr>
        <w:t>October 31, 2025. Because of his total compensation received during 2025, Mr. Swan is listed as a named executive officer of the Company in the above table, but he was no longer an executive officer of the Company at 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 FOR 2025</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plan-based awards granted to named executive officers in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Grant</w:t>
            </w:r>
          </w:p>
        </w:tc>
      </w:tr>
      <w:tr>
        <w:trPr>
          <w:trHeight w:val="135"/>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All Other</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1"/>
              </w:rPr>
              <w:t>Date</w:t>
            </w:r>
          </w:p>
        </w:tc>
      </w:tr>
      <w:tr>
        <w:trPr>
          <w:trHeight w:val="135"/>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All Other</w:t>
            </w: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Fair</w:t>
            </w:r>
          </w:p>
        </w:tc>
      </w:tr>
      <w:tr>
        <w:trPr>
          <w:trHeight w:val="135"/>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2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Value of</w:t>
            </w:r>
          </w:p>
        </w:tc>
      </w:tr>
      <w:tr>
        <w:trPr>
          <w:trHeight w:val="135"/>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Estimated Possible Payouts Under</w:t>
            </w:r>
          </w:p>
        </w:tc>
        <w:tc>
          <w:tcPr>
            <w:tcW w:w="220" w:type="dxa"/>
            <w:vAlign w:val="bottom"/>
          </w:tcPr>
          <w:p>
            <w:pPr>
              <w:spacing w:after="0"/>
              <w:rPr>
                <w:sz w:val="11"/>
                <w:szCs w:val="11"/>
                <w:color w:val="auto"/>
              </w:rPr>
            </w:pPr>
          </w:p>
        </w:tc>
        <w:tc>
          <w:tcPr>
            <w:tcW w:w="214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Estimated Future Payouts Under</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3"/>
              </w:rPr>
              <w:t>or Base</w:t>
            </w:r>
          </w:p>
        </w:tc>
        <w:tc>
          <w:tcPr>
            <w:tcW w:w="22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r>
      <w:tr>
        <w:trPr>
          <w:trHeight w:val="135"/>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Non-Equity Incentive Plan</w:t>
            </w:r>
          </w:p>
        </w:tc>
        <w:tc>
          <w:tcPr>
            <w:tcW w:w="220" w:type="dxa"/>
            <w:vAlign w:val="bottom"/>
          </w:tcPr>
          <w:p>
            <w:pPr>
              <w:spacing w:after="0"/>
              <w:rPr>
                <w:sz w:val="11"/>
                <w:szCs w:val="11"/>
                <w:color w:val="auto"/>
              </w:rPr>
            </w:pPr>
          </w:p>
        </w:tc>
        <w:tc>
          <w:tcPr>
            <w:tcW w:w="214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Equity Incentive Plan</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Price of</w:t>
            </w:r>
          </w:p>
        </w:tc>
        <w:tc>
          <w:tcPr>
            <w:tcW w:w="2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and</w:t>
            </w:r>
          </w:p>
        </w:tc>
      </w:tr>
      <w:tr>
        <w:trPr>
          <w:trHeight w:val="145"/>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5"/>
              </w:rPr>
              <w:t>Committee</w:t>
            </w: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Awards(1)</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Awards(2)</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Shares of</w:t>
            </w:r>
          </w:p>
        </w:tc>
        <w:tc>
          <w:tcPr>
            <w:tcW w:w="2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Underlying</w:t>
            </w:r>
          </w:p>
        </w:tc>
        <w:tc>
          <w:tcPr>
            <w:tcW w:w="2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22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Option</w:t>
            </w:r>
          </w:p>
        </w:tc>
      </w:tr>
      <w:tr>
        <w:trPr>
          <w:trHeight w:val="118"/>
        </w:trPr>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ind w:right="82"/>
              <w:spacing w:after="0" w:line="118" w:lineRule="exact"/>
              <w:rPr>
                <w:sz w:val="20"/>
                <w:szCs w:val="20"/>
                <w:color w:val="auto"/>
              </w:rPr>
            </w:pPr>
            <w:r>
              <w:rPr>
                <w:rFonts w:ascii="Times New Roman" w:cs="Times New Roman" w:eastAsia="Times New Roman" w:hAnsi="Times New Roman"/>
                <w:sz w:val="12"/>
                <w:szCs w:val="12"/>
                <w:b w:val="1"/>
                <w:bCs w:val="1"/>
                <w:color w:val="auto"/>
              </w:rPr>
              <w:t>Grant</w:t>
            </w:r>
          </w:p>
        </w:tc>
        <w:tc>
          <w:tcPr>
            <w:tcW w:w="240" w:type="dxa"/>
            <w:vAlign w:val="bottom"/>
          </w:tcPr>
          <w:p>
            <w:pPr>
              <w:spacing w:after="0"/>
              <w:rPr>
                <w:sz w:val="10"/>
                <w:szCs w:val="10"/>
                <w:color w:val="auto"/>
              </w:rPr>
            </w:pPr>
          </w:p>
        </w:tc>
        <w:tc>
          <w:tcPr>
            <w:tcW w:w="8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w w:val="94"/>
              </w:rPr>
              <w:t>Approval</w:t>
            </w:r>
          </w:p>
        </w:tc>
        <w:tc>
          <w:tcPr>
            <w:tcW w:w="620" w:type="dxa"/>
            <w:vAlign w:val="bottom"/>
          </w:tcPr>
          <w:p>
            <w:pPr>
              <w:jc w:val="right"/>
              <w:ind w:right="2"/>
              <w:spacing w:after="0" w:line="118" w:lineRule="exact"/>
              <w:rPr>
                <w:sz w:val="20"/>
                <w:szCs w:val="20"/>
                <w:color w:val="auto"/>
              </w:rPr>
            </w:pPr>
            <w:r>
              <w:rPr>
                <w:rFonts w:ascii="Times New Roman" w:cs="Times New Roman" w:eastAsia="Times New Roman" w:hAnsi="Times New Roman"/>
                <w:sz w:val="12"/>
                <w:szCs w:val="12"/>
                <w:b w:val="1"/>
                <w:bCs w:val="1"/>
                <w:color w:val="auto"/>
              </w:rPr>
              <w:t>Threshold</w:t>
            </w:r>
          </w:p>
        </w:tc>
        <w:tc>
          <w:tcPr>
            <w:tcW w:w="24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Target</w:t>
            </w:r>
          </w:p>
        </w:tc>
        <w:tc>
          <w:tcPr>
            <w:tcW w:w="240" w:type="dxa"/>
            <w:vAlign w:val="bottom"/>
          </w:tcPr>
          <w:p>
            <w:pPr>
              <w:spacing w:after="0"/>
              <w:rPr>
                <w:sz w:val="10"/>
                <w:szCs w:val="10"/>
                <w:color w:val="auto"/>
              </w:rPr>
            </w:pPr>
          </w:p>
        </w:tc>
        <w:tc>
          <w:tcPr>
            <w:tcW w:w="68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2"/>
                <w:szCs w:val="12"/>
                <w:b w:val="1"/>
                <w:bCs w:val="1"/>
                <w:color w:val="auto"/>
              </w:rPr>
              <w:t>Maximum</w:t>
            </w:r>
          </w:p>
        </w:tc>
        <w:tc>
          <w:tcPr>
            <w:tcW w:w="220" w:type="dxa"/>
            <w:vAlign w:val="bottom"/>
          </w:tcPr>
          <w:p>
            <w:pPr>
              <w:spacing w:after="0"/>
              <w:rPr>
                <w:sz w:val="10"/>
                <w:szCs w:val="10"/>
                <w:color w:val="auto"/>
              </w:rPr>
            </w:pP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8"/>
              </w:rPr>
              <w:t>Threshold</w:t>
            </w:r>
          </w:p>
        </w:tc>
        <w:tc>
          <w:tcPr>
            <w:tcW w:w="22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Target</w:t>
            </w:r>
          </w:p>
        </w:tc>
        <w:tc>
          <w:tcPr>
            <w:tcW w:w="22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7"/>
              </w:rPr>
              <w:t>Maximum</w:t>
            </w:r>
          </w:p>
        </w:tc>
        <w:tc>
          <w:tcPr>
            <w:tcW w:w="20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22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20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220" w:type="dxa"/>
            <w:vAlign w:val="bottom"/>
          </w:tcPr>
          <w:p>
            <w:pPr>
              <w:spacing w:after="0"/>
              <w:rPr>
                <w:sz w:val="10"/>
                <w:szCs w:val="10"/>
                <w:color w:val="auto"/>
              </w:rPr>
            </w:pPr>
          </w:p>
        </w:tc>
        <w:tc>
          <w:tcPr>
            <w:tcW w:w="7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w w:val="94"/>
              </w:rPr>
              <w:t>Awards</w:t>
            </w:r>
          </w:p>
        </w:tc>
      </w:tr>
      <w:tr>
        <w:trPr>
          <w:trHeight w:val="14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Date</w:t>
            </w:r>
          </w:p>
        </w:tc>
        <w:tc>
          <w:tcPr>
            <w:tcW w:w="2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260" w:type="dxa"/>
            <w:vAlign w:val="bottom"/>
          </w:tcPr>
          <w:p>
            <w:pPr>
              <w:spacing w:after="0"/>
              <w:rPr>
                <w:sz w:val="12"/>
                <w:szCs w:val="12"/>
                <w:color w:val="auto"/>
              </w:rPr>
            </w:pPr>
          </w:p>
        </w:tc>
        <w:tc>
          <w:tcPr>
            <w:tcW w:w="6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2"/>
                <w:szCs w:val="12"/>
                <w:color w:val="auto"/>
              </w:rPr>
            </w:pPr>
          </w:p>
        </w:tc>
        <w:tc>
          <w:tcPr>
            <w:tcW w:w="5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2"/>
                <w:szCs w:val="12"/>
                <w:color w:val="auto"/>
              </w:rPr>
            </w:pPr>
          </w:p>
        </w:tc>
        <w:tc>
          <w:tcPr>
            <w:tcW w:w="5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2"/>
                <w:szCs w:val="12"/>
                <w:color w:val="auto"/>
              </w:rPr>
            </w:pPr>
          </w:p>
        </w:tc>
        <w:tc>
          <w:tcPr>
            <w:tcW w:w="5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($)(3)</w:t>
            </w:r>
          </w:p>
        </w:tc>
        <w:tc>
          <w:tcPr>
            <w:tcW w:w="100" w:type="dxa"/>
            <w:vAlign w:val="bottom"/>
          </w:tcPr>
          <w:p>
            <w:pPr>
              <w:spacing w:after="0"/>
              <w:rPr>
                <w:sz w:val="12"/>
                <w:szCs w:val="12"/>
                <w:color w:val="auto"/>
              </w:rPr>
            </w:pPr>
          </w:p>
        </w:tc>
      </w:tr>
      <w:tr>
        <w:trPr>
          <w:trHeight w:val="128"/>
        </w:trPr>
        <w:tc>
          <w:tcPr>
            <w:tcW w:w="12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George F. Colony</w:t>
            </w: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13,000</w:t>
            </w:r>
          </w:p>
        </w:tc>
        <w:tc>
          <w:tcPr>
            <w:tcW w:w="8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650,000</w:t>
            </w:r>
          </w:p>
        </w:tc>
        <w:tc>
          <w:tcPr>
            <w:tcW w:w="9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1,014,000</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r>
      <w:tr>
        <w:trPr>
          <w:trHeight w:val="262"/>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L. Christian Finn</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330,730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515,939</w:t>
            </w: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5"/>
        </w:trPr>
        <w:tc>
          <w:tcPr>
            <w:tcW w:w="124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03/20/25</w:t>
            </w:r>
          </w:p>
        </w:tc>
        <w:tc>
          <w:tcPr>
            <w:tcW w:w="2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66,666</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9.36</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225,564</w:t>
            </w:r>
          </w:p>
        </w:tc>
        <w:tc>
          <w:tcPr>
            <w:tcW w:w="100" w:type="dxa"/>
            <w:vAlign w:val="bottom"/>
          </w:tcPr>
          <w:p>
            <w:pPr>
              <w:spacing w:after="0"/>
              <w:rPr>
                <w:sz w:val="11"/>
                <w:szCs w:val="11"/>
                <w:color w:val="auto"/>
              </w:rPr>
            </w:pPr>
          </w:p>
        </w:tc>
      </w:tr>
      <w:tr>
        <w:trPr>
          <w:trHeight w:val="135"/>
        </w:trPr>
        <w:tc>
          <w:tcPr>
            <w:tcW w:w="124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03/20/25</w:t>
            </w:r>
          </w:p>
        </w:tc>
        <w:tc>
          <w:tcPr>
            <w:tcW w:w="2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33,333</w:t>
            </w:r>
          </w:p>
        </w:tc>
        <w:tc>
          <w:tcPr>
            <w:tcW w:w="2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311,997</w:t>
            </w:r>
          </w:p>
        </w:tc>
        <w:tc>
          <w:tcPr>
            <w:tcW w:w="100" w:type="dxa"/>
            <w:vAlign w:val="bottom"/>
          </w:tcPr>
          <w:p>
            <w:pPr>
              <w:spacing w:after="0"/>
              <w:rPr>
                <w:sz w:val="11"/>
                <w:szCs w:val="11"/>
                <w:color w:val="auto"/>
              </w:rPr>
            </w:pPr>
          </w:p>
        </w:tc>
      </w:tr>
      <w:tr>
        <w:trPr>
          <w:trHeight w:val="150"/>
        </w:trPr>
        <w:tc>
          <w:tcPr>
            <w:tcW w:w="12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03/20/25</w:t>
            </w: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16,666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24,999</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155,994</w:t>
            </w:r>
          </w:p>
        </w:tc>
        <w:tc>
          <w:tcPr>
            <w:tcW w:w="100" w:type="dxa"/>
            <w:vAlign w:val="bottom"/>
          </w:tcPr>
          <w:p>
            <w:pPr>
              <w:spacing w:after="0"/>
              <w:rPr>
                <w:sz w:val="13"/>
                <w:szCs w:val="13"/>
                <w:color w:val="auto"/>
              </w:rPr>
            </w:pPr>
          </w:p>
        </w:tc>
      </w:tr>
      <w:tr>
        <w:trPr>
          <w:trHeight w:val="128"/>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2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Ryan Darrah</w:t>
            </w: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3,640</w:t>
            </w:r>
          </w:p>
        </w:tc>
        <w:tc>
          <w:tcPr>
            <w:tcW w:w="8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182,000</w:t>
            </w:r>
          </w:p>
        </w:tc>
        <w:tc>
          <w:tcPr>
            <w:tcW w:w="9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283,920</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35"/>
        </w:trPr>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03/20/25</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23,333</w:t>
            </w:r>
          </w:p>
        </w:tc>
        <w:tc>
          <w:tcPr>
            <w:tcW w:w="8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9.36</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78,947</w:t>
            </w:r>
          </w:p>
        </w:tc>
        <w:tc>
          <w:tcPr>
            <w:tcW w:w="100" w:type="dxa"/>
            <w:vAlign w:val="bottom"/>
            <w:shd w:val="clear" w:color="auto" w:fill="CFF0FC"/>
          </w:tcPr>
          <w:p>
            <w:pPr>
              <w:spacing w:after="0"/>
              <w:rPr>
                <w:sz w:val="11"/>
                <w:szCs w:val="11"/>
                <w:color w:val="auto"/>
              </w:rPr>
            </w:pPr>
          </w:p>
        </w:tc>
      </w:tr>
      <w:tr>
        <w:trPr>
          <w:trHeight w:val="135"/>
        </w:trPr>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03/20/25</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21,666</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202,794</w:t>
            </w:r>
          </w:p>
        </w:tc>
        <w:tc>
          <w:tcPr>
            <w:tcW w:w="100" w:type="dxa"/>
            <w:vAlign w:val="bottom"/>
            <w:shd w:val="clear" w:color="auto" w:fill="CFF0FC"/>
          </w:tcPr>
          <w:p>
            <w:pPr>
              <w:spacing w:after="0"/>
              <w:rPr>
                <w:sz w:val="11"/>
                <w:szCs w:val="11"/>
                <w:color w:val="auto"/>
              </w:rPr>
            </w:pPr>
          </w:p>
        </w:tc>
      </w:tr>
      <w:tr>
        <w:trPr>
          <w:trHeight w:val="135"/>
        </w:trPr>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03/20/25</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2,437</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10,833</w:t>
            </w:r>
          </w:p>
        </w:tc>
        <w:tc>
          <w:tcPr>
            <w:tcW w:w="8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16,250</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101,397</w:t>
            </w:r>
          </w:p>
        </w:tc>
        <w:tc>
          <w:tcPr>
            <w:tcW w:w="100" w:type="dxa"/>
            <w:vAlign w:val="bottom"/>
            <w:shd w:val="clear" w:color="auto" w:fill="CFF0FC"/>
          </w:tcPr>
          <w:p>
            <w:pPr>
              <w:spacing w:after="0"/>
              <w:rPr>
                <w:sz w:val="11"/>
                <w:szCs w:val="11"/>
                <w:color w:val="auto"/>
              </w:rPr>
            </w:pPr>
          </w:p>
        </w:tc>
      </w:tr>
      <w:tr>
        <w:trPr>
          <w:trHeight w:val="262"/>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Carrie Johnson</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334,688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522,113</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5"/>
        </w:trPr>
        <w:tc>
          <w:tcPr>
            <w:tcW w:w="124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03/20/25</w:t>
            </w:r>
          </w:p>
        </w:tc>
        <w:tc>
          <w:tcPr>
            <w:tcW w:w="2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66,666</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9.36</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225,564</w:t>
            </w:r>
          </w:p>
        </w:tc>
        <w:tc>
          <w:tcPr>
            <w:tcW w:w="100" w:type="dxa"/>
            <w:vAlign w:val="bottom"/>
          </w:tcPr>
          <w:p>
            <w:pPr>
              <w:spacing w:after="0"/>
              <w:rPr>
                <w:sz w:val="11"/>
                <w:szCs w:val="11"/>
                <w:color w:val="auto"/>
              </w:rPr>
            </w:pPr>
          </w:p>
        </w:tc>
      </w:tr>
      <w:tr>
        <w:trPr>
          <w:trHeight w:val="135"/>
        </w:trPr>
        <w:tc>
          <w:tcPr>
            <w:tcW w:w="124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03/20/25</w:t>
            </w:r>
          </w:p>
        </w:tc>
        <w:tc>
          <w:tcPr>
            <w:tcW w:w="2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33,333</w:t>
            </w:r>
          </w:p>
        </w:tc>
        <w:tc>
          <w:tcPr>
            <w:tcW w:w="2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311,997</w:t>
            </w:r>
          </w:p>
        </w:tc>
        <w:tc>
          <w:tcPr>
            <w:tcW w:w="100" w:type="dxa"/>
            <w:vAlign w:val="bottom"/>
          </w:tcPr>
          <w:p>
            <w:pPr>
              <w:spacing w:after="0"/>
              <w:rPr>
                <w:sz w:val="11"/>
                <w:szCs w:val="11"/>
                <w:color w:val="auto"/>
              </w:rPr>
            </w:pPr>
          </w:p>
        </w:tc>
      </w:tr>
      <w:tr>
        <w:trPr>
          <w:trHeight w:val="150"/>
        </w:trPr>
        <w:tc>
          <w:tcPr>
            <w:tcW w:w="12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03/20/25</w:t>
            </w: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16,666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24,999</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155,994</w:t>
            </w:r>
          </w:p>
        </w:tc>
        <w:tc>
          <w:tcPr>
            <w:tcW w:w="100" w:type="dxa"/>
            <w:vAlign w:val="bottom"/>
          </w:tcPr>
          <w:p>
            <w:pPr>
              <w:spacing w:after="0"/>
              <w:rPr>
                <w:sz w:val="13"/>
                <w:szCs w:val="13"/>
                <w:color w:val="auto"/>
              </w:rPr>
            </w:pPr>
          </w:p>
        </w:tc>
      </w:tr>
      <w:tr>
        <w:trPr>
          <w:trHeight w:val="128"/>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2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Sharyn Leaver</w:t>
            </w: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4,680</w:t>
            </w:r>
          </w:p>
        </w:tc>
        <w:tc>
          <w:tcPr>
            <w:tcW w:w="8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234,000</w:t>
            </w:r>
          </w:p>
        </w:tc>
        <w:tc>
          <w:tcPr>
            <w:tcW w:w="9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365,040</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35"/>
        </w:trPr>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03/20/25</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33,333</w:t>
            </w:r>
          </w:p>
        </w:tc>
        <w:tc>
          <w:tcPr>
            <w:tcW w:w="8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9.36</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112,782</w:t>
            </w:r>
          </w:p>
        </w:tc>
        <w:tc>
          <w:tcPr>
            <w:tcW w:w="100" w:type="dxa"/>
            <w:vAlign w:val="bottom"/>
            <w:shd w:val="clear" w:color="auto" w:fill="CFF0FC"/>
          </w:tcPr>
          <w:p>
            <w:pPr>
              <w:spacing w:after="0"/>
              <w:rPr>
                <w:sz w:val="11"/>
                <w:szCs w:val="11"/>
                <w:color w:val="auto"/>
              </w:rPr>
            </w:pPr>
          </w:p>
        </w:tc>
      </w:tr>
      <w:tr>
        <w:trPr>
          <w:trHeight w:val="135"/>
        </w:trPr>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03/20/25</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25,000</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234,000</w:t>
            </w:r>
          </w:p>
        </w:tc>
        <w:tc>
          <w:tcPr>
            <w:tcW w:w="100" w:type="dxa"/>
            <w:vAlign w:val="bottom"/>
            <w:shd w:val="clear" w:color="auto" w:fill="CFF0FC"/>
          </w:tcPr>
          <w:p>
            <w:pPr>
              <w:spacing w:after="0"/>
              <w:rPr>
                <w:sz w:val="11"/>
                <w:szCs w:val="11"/>
                <w:color w:val="auto"/>
              </w:rPr>
            </w:pPr>
          </w:p>
        </w:tc>
      </w:tr>
      <w:tr>
        <w:trPr>
          <w:trHeight w:val="135"/>
        </w:trPr>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03/20/25</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2,813</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12,500</w:t>
            </w:r>
          </w:p>
        </w:tc>
        <w:tc>
          <w:tcPr>
            <w:tcW w:w="8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18,750</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117,000</w:t>
            </w:r>
          </w:p>
        </w:tc>
        <w:tc>
          <w:tcPr>
            <w:tcW w:w="100" w:type="dxa"/>
            <w:vAlign w:val="bottom"/>
            <w:shd w:val="clear" w:color="auto" w:fill="CFF0FC"/>
          </w:tcPr>
          <w:p>
            <w:pPr>
              <w:spacing w:after="0"/>
              <w:rPr>
                <w:sz w:val="11"/>
                <w:szCs w:val="11"/>
                <w:color w:val="auto"/>
              </w:rPr>
            </w:pPr>
          </w:p>
        </w:tc>
      </w:tr>
      <w:tr>
        <w:trPr>
          <w:trHeight w:val="262"/>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Nate Swan</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349,440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545,126</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5"/>
        </w:trPr>
        <w:tc>
          <w:tcPr>
            <w:tcW w:w="124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03/20/25</w:t>
            </w:r>
          </w:p>
        </w:tc>
        <w:tc>
          <w:tcPr>
            <w:tcW w:w="2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66,666</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9.36</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225,564</w:t>
            </w:r>
          </w:p>
        </w:tc>
        <w:tc>
          <w:tcPr>
            <w:tcW w:w="100" w:type="dxa"/>
            <w:vAlign w:val="bottom"/>
          </w:tcPr>
          <w:p>
            <w:pPr>
              <w:spacing w:after="0"/>
              <w:rPr>
                <w:sz w:val="11"/>
                <w:szCs w:val="11"/>
                <w:color w:val="auto"/>
              </w:rPr>
            </w:pPr>
          </w:p>
        </w:tc>
      </w:tr>
      <w:tr>
        <w:trPr>
          <w:trHeight w:val="135"/>
        </w:trPr>
        <w:tc>
          <w:tcPr>
            <w:tcW w:w="124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03/20/25</w:t>
            </w:r>
          </w:p>
        </w:tc>
        <w:tc>
          <w:tcPr>
            <w:tcW w:w="2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33,333</w:t>
            </w:r>
          </w:p>
        </w:tc>
        <w:tc>
          <w:tcPr>
            <w:tcW w:w="2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311,997</w:t>
            </w:r>
          </w:p>
        </w:tc>
        <w:tc>
          <w:tcPr>
            <w:tcW w:w="100" w:type="dxa"/>
            <w:vAlign w:val="bottom"/>
          </w:tcPr>
          <w:p>
            <w:pPr>
              <w:spacing w:after="0"/>
              <w:rPr>
                <w:sz w:val="11"/>
                <w:szCs w:val="11"/>
                <w:color w:val="auto"/>
              </w:rPr>
            </w:pPr>
          </w:p>
        </w:tc>
      </w:tr>
      <w:tr>
        <w:trPr>
          <w:trHeight w:val="150"/>
        </w:trPr>
        <w:tc>
          <w:tcPr>
            <w:tcW w:w="12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04/01/25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03/20/25</w:t>
            </w: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16,666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24,999</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155,994</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423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5" w:lineRule="exact"/>
        <w:rPr>
          <w:sz w:val="20"/>
          <w:szCs w:val="20"/>
          <w:color w:val="auto"/>
        </w:rPr>
      </w:pPr>
    </w:p>
    <w:p>
      <w:pPr>
        <w:jc w:val="both"/>
        <w:ind w:left="520" w:hanging="512"/>
        <w:spacing w:after="0" w:line="257"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awards under our Executive Cash Incentive Plan, a non-equity incentive plan, with payouts thereunder made annually in arrears. Our Executive Cash Incentive Plan is described in detail, including calculation of threshold, target and maximum awards under the plan, in the Compensation Discussion and Analysis above. Actual amounts awarded are set forth in the Summary Compensation Table above.</w:t>
      </w:r>
    </w:p>
    <w:p>
      <w:pPr>
        <w:spacing w:after="0" w:line="1"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performance-based restricted stock units granted pursuant to our Amended and Restated Equity Incentive Plan. The vesting of such restricted stock units is conditioned upon achievement of defined performance objectives relating to contract value (CV) growth and Adjusted EBITDA margin in 2027. These restricted stock units can vest as to between 22.5% and 150% of the total number of shares subject to the award, depending on performance, or the restricted stock units can be forfeited if the defined performance objectives are not met.</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2 to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the named executive officers regarding outstanding option awards and stock awards held as of December 31,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20" w:type="dxa"/>
            <w:vAlign w:val="bottom"/>
            <w:gridSpan w:val="4"/>
          </w:tcPr>
          <w:p>
            <w:pPr>
              <w:ind w:left="1280"/>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108"/>
        </w:trPr>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 Incentive</w:t>
            </w:r>
          </w:p>
        </w:tc>
        <w:tc>
          <w:tcPr>
            <w:tcW w:w="220" w:type="dxa"/>
            <w:vAlign w:val="bottom"/>
            <w:tcBorders>
              <w:top w:val="single" w:sz="8" w:color="auto"/>
            </w:tcBorders>
          </w:tcPr>
          <w:p>
            <w:pPr>
              <w:spacing w:after="0"/>
              <w:rPr>
                <w:sz w:val="9"/>
                <w:szCs w:val="9"/>
                <w:color w:val="auto"/>
              </w:rPr>
            </w:pPr>
          </w:p>
        </w:tc>
        <w:tc>
          <w:tcPr>
            <w:tcW w:w="15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 Incentive</w:t>
            </w:r>
          </w:p>
        </w:tc>
        <w:tc>
          <w:tcPr>
            <w:tcW w:w="100" w:type="dxa"/>
            <w:vAlign w:val="bottom"/>
          </w:tcPr>
          <w:p>
            <w:pPr>
              <w:spacing w:after="0"/>
              <w:rPr>
                <w:sz w:val="9"/>
                <w:szCs w:val="9"/>
                <w:color w:val="auto"/>
              </w:rPr>
            </w:pP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220" w:type="dxa"/>
            <w:vAlign w:val="bottom"/>
          </w:tcPr>
          <w:p>
            <w:pPr>
              <w:spacing w:after="0"/>
              <w:rPr>
                <w:sz w:val="11"/>
                <w:szCs w:val="11"/>
                <w:color w:val="auto"/>
              </w:rPr>
            </w:pPr>
          </w:p>
        </w:tc>
        <w:tc>
          <w:tcPr>
            <w:tcW w:w="1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Market or</w:t>
            </w: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6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2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Payout Value of</w:t>
            </w: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26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220" w:type="dxa"/>
            <w:vAlign w:val="bottom"/>
          </w:tcPr>
          <w:p>
            <w:pPr>
              <w:spacing w:after="0"/>
              <w:rPr>
                <w:sz w:val="11"/>
                <w:szCs w:val="11"/>
                <w:color w:val="auto"/>
              </w:rPr>
            </w:pPr>
          </w:p>
        </w:tc>
        <w:tc>
          <w:tcPr>
            <w:tcW w:w="1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6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220" w:type="dxa"/>
            <w:vAlign w:val="bottom"/>
          </w:tcPr>
          <w:p>
            <w:pPr>
              <w:spacing w:after="0"/>
              <w:rPr>
                <w:sz w:val="11"/>
                <w:szCs w:val="11"/>
                <w:color w:val="auto"/>
              </w:rPr>
            </w:pPr>
          </w:p>
        </w:tc>
        <w:tc>
          <w:tcPr>
            <w:tcW w:w="1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w:t>
            </w: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6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2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 Other</w:t>
            </w:r>
          </w:p>
        </w:tc>
        <w:tc>
          <w:tcPr>
            <w:tcW w:w="220" w:type="dxa"/>
            <w:vAlign w:val="bottom"/>
          </w:tcPr>
          <w:p>
            <w:pPr>
              <w:spacing w:after="0"/>
              <w:rPr>
                <w:sz w:val="11"/>
                <w:szCs w:val="11"/>
                <w:color w:val="auto"/>
              </w:rPr>
            </w:pPr>
          </w:p>
        </w:tc>
        <w:tc>
          <w:tcPr>
            <w:tcW w:w="1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 Other</w:t>
            </w: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26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2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2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c>
          <w:tcPr>
            <w:tcW w:w="220" w:type="dxa"/>
            <w:vAlign w:val="bottom"/>
          </w:tcPr>
          <w:p>
            <w:pPr>
              <w:spacing w:after="0"/>
              <w:rPr>
                <w:sz w:val="11"/>
                <w:szCs w:val="11"/>
                <w:color w:val="auto"/>
              </w:rPr>
            </w:pPr>
          </w:p>
        </w:tc>
        <w:tc>
          <w:tcPr>
            <w:tcW w:w="1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r>
      <w:tr>
        <w:trPr>
          <w:trHeight w:val="135"/>
        </w:trPr>
        <w:tc>
          <w:tcPr>
            <w:tcW w:w="3060" w:type="dxa"/>
            <w:vAlign w:val="bottom"/>
          </w:tcPr>
          <w:p>
            <w:pPr>
              <w:spacing w:after="0"/>
              <w:rPr>
                <w:sz w:val="11"/>
                <w:szCs w:val="11"/>
                <w:color w:val="auto"/>
              </w:rPr>
            </w:pPr>
          </w:p>
        </w:tc>
        <w:tc>
          <w:tcPr>
            <w:tcW w:w="1340" w:type="dxa"/>
            <w:vAlign w:val="bottom"/>
            <w:gridSpan w:val="2"/>
          </w:tcPr>
          <w:p>
            <w:pPr>
              <w:jc w:val="center"/>
              <w:ind w:left="50"/>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480" w:type="dxa"/>
            <w:vAlign w:val="bottom"/>
            <w:gridSpan w:val="2"/>
          </w:tcPr>
          <w:p>
            <w:pPr>
              <w:jc w:val="center"/>
              <w:ind w:left="17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2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2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Have Not Vested</w:t>
            </w:r>
          </w:p>
        </w:tc>
        <w:tc>
          <w:tcPr>
            <w:tcW w:w="220" w:type="dxa"/>
            <w:vAlign w:val="bottom"/>
          </w:tcPr>
          <w:p>
            <w:pPr>
              <w:spacing w:after="0"/>
              <w:rPr>
                <w:sz w:val="11"/>
                <w:szCs w:val="11"/>
                <w:color w:val="auto"/>
              </w:rPr>
            </w:pPr>
          </w:p>
        </w:tc>
        <w:tc>
          <w:tcPr>
            <w:tcW w:w="1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Have Not Vested</w:t>
            </w:r>
          </w:p>
        </w:tc>
      </w:tr>
      <w:tr>
        <w:trPr>
          <w:trHeight w:val="155"/>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260" w:type="dxa"/>
            <w:vAlign w:val="bottom"/>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220" w:type="dxa"/>
            <w:vAlign w:val="bottom"/>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100" w:type="dxa"/>
            <w:vAlign w:val="bottom"/>
          </w:tcPr>
          <w:p>
            <w:pPr>
              <w:spacing w:after="0"/>
              <w:rPr>
                <w:sz w:val="13"/>
                <w:szCs w:val="13"/>
                <w:color w:val="auto"/>
              </w:rPr>
            </w:pPr>
          </w:p>
        </w:tc>
      </w:tr>
      <w:tr>
        <w:trPr>
          <w:trHeight w:val="14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George F. Colony</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L. Christian Finn</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2,483(2)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20,162</w:t>
            </w:r>
          </w:p>
        </w:tc>
        <w:tc>
          <w:tcPr>
            <w:tcW w:w="100" w:type="dxa"/>
            <w:vAlign w:val="bottom"/>
          </w:tcPr>
          <w:p>
            <w:pPr>
              <w:spacing w:after="0"/>
              <w:rPr>
                <w:sz w:val="17"/>
                <w:szCs w:val="17"/>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7,567(3)</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61,444</w:t>
            </w:r>
          </w:p>
        </w:tc>
        <w:tc>
          <w:tcPr>
            <w:tcW w:w="100" w:type="dxa"/>
            <w:vAlign w:val="bottom"/>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18,002(4)</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146,176</w:t>
            </w:r>
          </w:p>
        </w:tc>
        <w:tc>
          <w:tcPr>
            <w:tcW w:w="100" w:type="dxa"/>
            <w:vAlign w:val="bottom"/>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33,333(5)</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270,664</w:t>
            </w:r>
          </w:p>
        </w:tc>
        <w:tc>
          <w:tcPr>
            <w:tcW w:w="100" w:type="dxa"/>
            <w:vAlign w:val="bottom"/>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16,666(6)</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30,449</w:t>
            </w:r>
          </w:p>
        </w:tc>
        <w:tc>
          <w:tcPr>
            <w:tcW w:w="100" w:type="dxa"/>
            <w:vAlign w:val="bottom"/>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15,134</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15,132(7)</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33.04</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22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66,666(8)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3/31/2035</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64"/>
        </w:trPr>
        <w:tc>
          <w:tcPr>
            <w:tcW w:w="3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26"/>
        </w:trPr>
        <w:tc>
          <w:tcPr>
            <w:tcW w:w="3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Ryan Darrah</w:t>
            </w:r>
          </w:p>
        </w:tc>
        <w:tc>
          <w:tcPr>
            <w:tcW w:w="12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1,365(2)</w:t>
            </w:r>
          </w:p>
        </w:tc>
        <w:tc>
          <w:tcPr>
            <w:tcW w:w="18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11,084</w:t>
            </w:r>
          </w:p>
        </w:tc>
        <w:tc>
          <w:tcPr>
            <w:tcW w:w="100" w:type="dxa"/>
            <w:vAlign w:val="bottom"/>
            <w:shd w:val="clear" w:color="auto" w:fill="CFF0FC"/>
          </w:tcPr>
          <w:p>
            <w:pPr>
              <w:spacing w:after="0"/>
              <w:rPr>
                <w:sz w:val="10"/>
                <w:szCs w:val="10"/>
                <w:color w:val="auto"/>
              </w:rPr>
            </w:pPr>
          </w:p>
        </w:tc>
      </w:tr>
      <w:tr>
        <w:trPr>
          <w:trHeight w:val="148"/>
        </w:trPr>
        <w:tc>
          <w:tcPr>
            <w:tcW w:w="3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4,162(3)</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33,795</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11,701(4)</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95,012</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21,666(5)</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175,928</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10,833(6)</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19,792</w:t>
            </w:r>
          </w:p>
        </w:tc>
        <w:tc>
          <w:tcPr>
            <w:tcW w:w="100" w:type="dxa"/>
            <w:vAlign w:val="bottom"/>
            <w:shd w:val="clear" w:color="auto" w:fill="CFF0FC"/>
          </w:tcPr>
          <w:p>
            <w:pPr>
              <w:spacing w:after="0"/>
              <w:rPr>
                <w:sz w:val="12"/>
                <w:szCs w:val="12"/>
                <w:color w:val="auto"/>
              </w:rPr>
            </w:pPr>
          </w:p>
        </w:tc>
      </w:tr>
      <w:tr>
        <w:trPr>
          <w:trHeight w:val="171"/>
        </w:trPr>
        <w:tc>
          <w:tcPr>
            <w:tcW w:w="3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23,333(8)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3/31/2035</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Carrie Johnson</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2,235(2)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18,148</w:t>
            </w:r>
          </w:p>
        </w:tc>
        <w:tc>
          <w:tcPr>
            <w:tcW w:w="100" w:type="dxa"/>
            <w:vAlign w:val="bottom"/>
          </w:tcPr>
          <w:p>
            <w:pPr>
              <w:spacing w:after="0"/>
              <w:rPr>
                <w:sz w:val="17"/>
                <w:szCs w:val="17"/>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7,567(3)</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61,444</w:t>
            </w:r>
          </w:p>
        </w:tc>
        <w:tc>
          <w:tcPr>
            <w:tcW w:w="100" w:type="dxa"/>
            <w:vAlign w:val="bottom"/>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18,002(4)</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146,176</w:t>
            </w:r>
          </w:p>
        </w:tc>
        <w:tc>
          <w:tcPr>
            <w:tcW w:w="100" w:type="dxa"/>
            <w:vAlign w:val="bottom"/>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33,333(5)</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270,664</w:t>
            </w:r>
          </w:p>
        </w:tc>
        <w:tc>
          <w:tcPr>
            <w:tcW w:w="100" w:type="dxa"/>
            <w:vAlign w:val="bottom"/>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16,666(6)</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30,449</w:t>
            </w:r>
          </w:p>
        </w:tc>
        <w:tc>
          <w:tcPr>
            <w:tcW w:w="100" w:type="dxa"/>
            <w:vAlign w:val="bottom"/>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15,134</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15,132(7)</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33.04</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22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66,666(8)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3/31/2035</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64"/>
        </w:trPr>
        <w:tc>
          <w:tcPr>
            <w:tcW w:w="3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26"/>
        </w:trPr>
        <w:tc>
          <w:tcPr>
            <w:tcW w:w="3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Sharyn Leaver</w:t>
            </w:r>
          </w:p>
        </w:tc>
        <w:tc>
          <w:tcPr>
            <w:tcW w:w="12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1,614(2)</w:t>
            </w:r>
          </w:p>
        </w:tc>
        <w:tc>
          <w:tcPr>
            <w:tcW w:w="18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13,106</w:t>
            </w:r>
          </w:p>
        </w:tc>
        <w:tc>
          <w:tcPr>
            <w:tcW w:w="100" w:type="dxa"/>
            <w:vAlign w:val="bottom"/>
            <w:shd w:val="clear" w:color="auto" w:fill="CFF0FC"/>
          </w:tcPr>
          <w:p>
            <w:pPr>
              <w:spacing w:after="0"/>
              <w:rPr>
                <w:sz w:val="10"/>
                <w:szCs w:val="10"/>
                <w:color w:val="auto"/>
              </w:rPr>
            </w:pPr>
          </w:p>
        </w:tc>
      </w:tr>
      <w:tr>
        <w:trPr>
          <w:trHeight w:val="149"/>
        </w:trPr>
        <w:tc>
          <w:tcPr>
            <w:tcW w:w="3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4,918(3)</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39,934</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12,601(4)</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102,320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25,000(5)</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203,000</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12,500(6)</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22,838</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11,350</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11,349(7)</w:t>
            </w:r>
          </w:p>
        </w:tc>
        <w:tc>
          <w:tcPr>
            <w:tcW w:w="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33.04</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22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1"/>
        </w:trPr>
        <w:tc>
          <w:tcPr>
            <w:tcW w:w="3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33,333(8)</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3/31/2035</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47"/>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Nate Swan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15,134</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423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1" w:lineRule="exact"/>
        <w:rPr>
          <w:sz w:val="20"/>
          <w:szCs w:val="20"/>
          <w:color w:val="auto"/>
        </w:rPr>
      </w:pPr>
    </w:p>
    <w:p>
      <w:pPr>
        <w:jc w:val="both"/>
        <w:ind w:left="520" w:hanging="512"/>
        <w:spacing w:after="0" w:line="255" w:lineRule="auto"/>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value was calculated based on $8.12, the closing price per share of our common stock on December 31, 2025. With respect to performance-based restricted stock units, the stated value equals the product of $8.12 multiplied by the number of shares issuable upon achievement of threshold performance goals. However, we have recorded a zero value for these awards in our financial statements for the year ended December 31, 2025.</w:t>
      </w:r>
    </w:p>
    <w:p>
      <w:pPr>
        <w:spacing w:after="0" w:line="2"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time-based restricted stock units that vest on March 1, 2026.</w:t>
      </w:r>
    </w:p>
    <w:p>
      <w:pPr>
        <w:spacing w:after="0" w:line="7"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time-based restricted stock units that vest as to 50% of the shares subject to the award on each of March 1, 2026 and March 1, 2027.</w:t>
      </w:r>
    </w:p>
    <w:p>
      <w:pPr>
        <w:spacing w:after="0" w:line="7" w:lineRule="exact"/>
        <w:rPr>
          <w:rFonts w:ascii="Times New Roman" w:cs="Times New Roman" w:eastAsia="Times New Roman" w:hAnsi="Times New Roman"/>
          <w:sz w:val="17"/>
          <w:szCs w:val="17"/>
          <w:color w:val="auto"/>
        </w:rPr>
      </w:pPr>
    </w:p>
    <w:p>
      <w:pPr>
        <w:ind w:left="520" w:hanging="512"/>
        <w:spacing w:after="0" w:line="248" w:lineRule="auto"/>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time-based restricted stock units that vest as to one third of the shares subject to the award on each of April 1, 2026, April 1, 2027, and April 1, 2028.</w:t>
      </w:r>
    </w:p>
    <w:p>
      <w:pPr>
        <w:spacing w:after="0" w:line="1" w:lineRule="exact"/>
        <w:rPr>
          <w:rFonts w:ascii="Times New Roman" w:cs="Times New Roman" w:eastAsia="Times New Roman" w:hAnsi="Times New Roman"/>
          <w:sz w:val="17"/>
          <w:szCs w:val="17"/>
          <w:color w:val="auto"/>
        </w:rPr>
      </w:pPr>
    </w:p>
    <w:p>
      <w:pPr>
        <w:ind w:left="520" w:hanging="512"/>
        <w:spacing w:after="0" w:line="248" w:lineRule="auto"/>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time-based restricted stock units that vest as to 25% of the shares subject to the award on each of April 1, 2026, April 1, 2027, April 1, 2028, and April 1, 2029.</w:t>
      </w:r>
    </w:p>
    <w:p>
      <w:pPr>
        <w:spacing w:after="0" w:line="1" w:lineRule="exact"/>
        <w:rPr>
          <w:rFonts w:ascii="Times New Roman" w:cs="Times New Roman" w:eastAsia="Times New Roman" w:hAnsi="Times New Roman"/>
          <w:sz w:val="17"/>
          <w:szCs w:val="17"/>
          <w:color w:val="auto"/>
        </w:rPr>
      </w:pPr>
    </w:p>
    <w:p>
      <w:pPr>
        <w:jc w:val="both"/>
        <w:ind w:left="520" w:hanging="512"/>
        <w:spacing w:after="0" w:line="261" w:lineRule="auto"/>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performance-based restricted stock units granted pursuant to our Equity Incentive Plan. The vesting of these restricted stock units is conditioned upon achievement of defined performance objectives relating to contract value (CV) growth and Adjusted EBITDA margin in 2027. The restricted stock units can vest on March 1, 2028 as to between 22.5% and 150% of the total number of shares subject to the award, depending on performance, or the restricted stock units can be forfeited if the defined performance objectives are not met.</w:t>
      </w:r>
    </w:p>
    <w:p>
      <w:pPr>
        <w:ind w:left="520" w:hanging="512"/>
        <w:spacing w:after="0"/>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options become exercisable as to 50% of the shares subject to the award on each of March 1, 2026, and March 1, 2027.</w:t>
      </w:r>
    </w:p>
    <w:p>
      <w:pPr>
        <w:spacing w:after="0" w:line="7"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options become exercisable as to 25% of the shares subject to the award on each of April 1, 2026, April 1, 2027, April 1, 2028, and April 1, 2029.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 FOR 2025</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the named executive officers regarding the value realized during 2025 by the executives pursuant to option exercises and the vesting of RSUs.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5"/>
                <w:szCs w:val="15"/>
                <w:color w:val="auto"/>
              </w:rPr>
            </w:pPr>
          </w:p>
        </w:tc>
        <w:tc>
          <w:tcPr>
            <w:tcW w:w="2300" w:type="dxa"/>
            <w:vAlign w:val="bottom"/>
            <w:tcBorders>
              <w:bottom w:val="single" w:sz="8" w:color="auto"/>
            </w:tcBorders>
            <w:gridSpan w:val="3"/>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0"/>
                <w:szCs w:val="10"/>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8"/>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2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73"/>
        </w:trPr>
        <w:tc>
          <w:tcPr>
            <w:tcW w:w="5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George F. Colony</w:t>
            </w:r>
          </w:p>
        </w:tc>
        <w:tc>
          <w:tcPr>
            <w:tcW w:w="10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 Christian Finn</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Ryan Darrah</w:t>
            </w:r>
          </w:p>
        </w:tc>
        <w:tc>
          <w:tcPr>
            <w:tcW w:w="10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Carrie Johnson</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Sharyn Leaver</w:t>
            </w:r>
          </w:p>
        </w:tc>
        <w:tc>
          <w:tcPr>
            <w:tcW w:w="10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Nate Swan</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106,494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 defined benefit pension plans or long-term incentive plans applicable to the named executive officers.</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 nonqualified defined contribution or deferred compensation plans.</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Change-of-Control Benefits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Effective May 15, 2014, our Board of Directors adopted and approved the Forrester Research, Inc. Executive Severance Plan (the “Severance Plan”), which is applicable to all of the Company’s executive officers, including the named executive officers. The Severance Plan provides for the payment of severance and other benefits to each executive officer in the event of a termination of employment with the Company without cause and also, in the case of a change in control, by an executive officer for good reason, each as defined in the Severance Plan (each, a “Qualifying Termination”). In the event of a Qualifying Termination and subject to the executive’s execution of a general release of claims against the Company, in addition to any accrued obligations such as unpaid base salary, vacation and earned bonuses, the Severance Plan provides for the following severance payments and benefits:</w:t>
      </w:r>
    </w:p>
    <w:p>
      <w:pPr>
        <w:spacing w:after="0" w:line="79"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Qualifying Termination other than following a change in control:</w:t>
      </w:r>
    </w:p>
    <w:p>
      <w:pPr>
        <w:spacing w:after="0" w:line="117"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the executive officer’s base salary in installments for one year, or in the case of Mr. Colony (or any successor CEO), for 18 months, after the Qualifying Termination;</w:t>
      </w:r>
    </w:p>
    <w:p>
      <w:pPr>
        <w:spacing w:after="0" w:line="53" w:lineRule="exact"/>
        <w:rPr>
          <w:rFonts w:ascii="Times New Roman" w:cs="Times New Roman" w:eastAsia="Times New Roman" w:hAnsi="Times New Roman"/>
          <w:sz w:val="18"/>
          <w:szCs w:val="18"/>
          <w:color w:val="auto"/>
        </w:rPr>
      </w:pPr>
    </w:p>
    <w:p>
      <w:pPr>
        <w:jc w:val="both"/>
        <w:ind w:left="1540" w:hanging="514"/>
        <w:spacing w:after="0" w:line="254"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a lump sum of an amount equal to the lesser of the executive officer’s (x) annual target bonus and, if applicable, sales commissions, as in effect on the date of the Qualifying Termination, or (y) the average of the actual bonus and, if applicable, sales commissions, earned by the executive officer under the applicable plans for the two fiscal years preceding the year of the Qualifying Termination (or for such shorter period that the executive officer was employed by the Company); or in the case of the chief executive officer, payment in a lump sum of an amount equal to one and one-half times the lesser of the chief executive officer’s (x) annual target bonus and, if applicable, sales commissions, as in effect on the date of the Qualifying Termination, or (y) the average of the actual bonus and, if applicable, sales commissions earned by the chief executive officer under the applicable plans for the two fiscal years preceding the year of the Qualifying Termination;</w:t>
      </w:r>
    </w:p>
    <w:p>
      <w:pPr>
        <w:spacing w:after="0" w:line="83"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cash during the 12-month period following a Qualifying Termination for executive officers other than the chief executive officer, and during the 18-month period following a Qualifying Termination for the chief executive officer, of an amount equal to the Company’s portion of the cost for medical and dental coverage under applicable Company plans; and</w:t>
      </w:r>
    </w:p>
    <w:p>
      <w:pPr>
        <w:spacing w:after="0" w:line="67" w:lineRule="exact"/>
        <w:rPr>
          <w:rFonts w:ascii="Times New Roman" w:cs="Times New Roman" w:eastAsia="Times New Roman" w:hAnsi="Times New Roman"/>
          <w:sz w:val="18"/>
          <w:szCs w:val="18"/>
          <w:color w:val="auto"/>
        </w:rPr>
      </w:pPr>
    </w:p>
    <w:p>
      <w:pPr>
        <w:ind w:left="1540" w:hanging="514"/>
        <w:spacing w:after="0" w:line="261"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months of outplacement assistance, subject to extension for an additional 6 months upon request of the executive officer and at the discretion of the Company.</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 w:name="page24"/>
    <w:bookmarkEnd w:id="23"/>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Qualifying Termination during the 18-month period following a change in control (as defined in the Severance Plan):</w:t>
      </w:r>
    </w:p>
    <w:p>
      <w:pPr>
        <w:spacing w:after="0" w:line="117"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a lump sum of the executive officer’s annual base salary, or in the case of the chief executive officer, two times annual base salary;</w:t>
      </w:r>
    </w:p>
    <w:p>
      <w:pPr>
        <w:spacing w:after="0" w:line="53"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a lump sum of an amount equal to the excess, if any, of (x) the executive officer’s annual target bonus amount and/or annual target sales commission amount pro-rated as of the Qualifying Termination, over (y) the amount paid or payable for the actual bonus and/or sales commissions earned through the Qualifying Termination;</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55"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higher of the executive officer’s (x) target annual incentive opportunity, including target bonus opportunity and, if applicable, target sales commissions, or (y) the average of the actual bonus and, if applicable, sales commissions, earned by the executive under the applicable plans for the two fiscal years preceding the year of the Qualifying Termination (or such shorter period that the executive officer was employed by the Company); or in the case of the chief executive officer, the higher of two times his or her (x) target annual incentive opportunity, including target bonus opportunity and, if applicable, target sales commissions, or (y) the average of the actual bonus and, if applicable, sales commissions, earned by the chief executive officer under applicable plans for the two fiscal years preceding the year of the Qualifying Termination;</w:t>
      </w:r>
    </w:p>
    <w:p>
      <w:pPr>
        <w:spacing w:after="0" w:line="80"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cash in a lump sum of an amount equal to 12 months for executive officers other than the chief executive officer, and 24 months for the chief executive officer, of the Company’s portion of the cost for medical and dental coverage under applicable Company plans;</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outplacement assistance; and</w:t>
      </w:r>
    </w:p>
    <w:p>
      <w:pPr>
        <w:spacing w:after="0" w:line="11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 executive officer’s rights under any equity plans or agreements, accelerated vesting of, or cancellation and payment of merger consideration for (net of exercise price, if any), all unvested equity and equity-based awards, with performance-based awards, if any, vesting at target level of performance.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Severance Plan shall also reimburse each executive officer whose termination of employment results from a change of control all reasonable legal fees and expenses incurred to obtain or enforce rights or benefits under the Severance Plan if the executive officer prevails in substantial part on the material issues of the proceeding.</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Severance Plan does not provide for a gross-up payment to any of the executive officers to offset any excise taxes that may be imposed on excess parachute payments under Section 4999 (“Excise Tax”) of the Internal Revenue Code of 1986, as amended. Instead, the Severance Plan provides that in the event that the severance payments and benefits described above, and any other parachute payments, would, if paid, be subject to the Excise Tax, then the severance payments and benefits under the Severance Plan will be reduced to the extent necessary so that no portion of the payments or benefits under the Severance Plan are subject to the Excise Tax, provided that there shall be no such reduction if the net amount of the payments received by the executive officer after giving effect to all applicable taxes is greater than the net amount of the payments received by the executive officer after giving effect to the reduction.</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not entered into agreements providing for severance benefits with any of the named executive officers. Each of our named executive officers other than Mr. Colony has entered into stock option and restricted stock unit grant agreements that provide for full acceleration of vesting upon a change of control of the Company, unless there is an assumption, substitution or cash-out of the options or restricted stock units in connection with the change of control.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details of payments that would have been paid to, or value that would have been received by, the named executive officers in connection with either a change of control, a termination of employment without cause or for good reason in connection with a change of control, or a termination of employment without cause in the absence of a change of control, in each case effective as of December 31, 2025.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Payment in</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Lieu of</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Accelerated</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Salary</w:t>
            </w:r>
          </w:p>
        </w:tc>
        <w:tc>
          <w:tcPr>
            <w:tcW w:w="2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Medical and</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Outplacement</w:t>
            </w:r>
          </w:p>
        </w:tc>
        <w:tc>
          <w:tcPr>
            <w:tcW w:w="2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Unvested</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Continuation</w:t>
            </w:r>
          </w:p>
        </w:tc>
        <w:tc>
          <w:tcPr>
            <w:tcW w:w="2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Dental</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Assistance</w:t>
            </w:r>
          </w:p>
        </w:tc>
        <w:tc>
          <w:tcPr>
            <w:tcW w:w="2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220" w:type="dxa"/>
            <w:vAlign w:val="bottom"/>
          </w:tcPr>
          <w:p>
            <w:pPr>
              <w:spacing w:after="0"/>
              <w:rPr>
                <w:sz w:val="11"/>
                <w:szCs w:val="11"/>
                <w:color w:val="auto"/>
              </w:rPr>
            </w:pPr>
          </w:p>
        </w:tc>
        <w:tc>
          <w:tcPr>
            <w:tcW w:w="110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Event (1)</w:t>
            </w:r>
          </w:p>
        </w:tc>
        <w:tc>
          <w:tcPr>
            <w:tcW w:w="1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George F. Colony</w:t>
            </w:r>
          </w:p>
        </w:tc>
        <w:tc>
          <w:tcPr>
            <w:tcW w:w="1460" w:type="dxa"/>
            <w:vAlign w:val="bottom"/>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Change in Control</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Termination Upon</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1,300,000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1,759,677</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3,111,027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Not for Cause</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Termination</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975,000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136,688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23,512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1,145,200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L. Christian Finn</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 in Control</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633,774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633,774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Termination Upon</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440,974</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564,621</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24,228</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633,774</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1,683,596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 in Control</w:t>
            </w:r>
          </w:p>
        </w:tc>
        <w:tc>
          <w:tcPr>
            <w:tcW w:w="10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Not for Cause</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440,974</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105,519</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24,228</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580,720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Termination</w:t>
            </w:r>
          </w:p>
        </w:tc>
        <w:tc>
          <w:tcPr>
            <w:tcW w:w="10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146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Ryan Darrah</w:t>
            </w:r>
          </w:p>
        </w:tc>
        <w:tc>
          <w:tcPr>
            <w:tcW w:w="146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Control</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403,783</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403,783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Termination Upon</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364,000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310,709</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24,228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403,783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1,122,720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Not for Cause</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Termination</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364,000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58,625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24,228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456,853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Carrie Johnson</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 in Control</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631,760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631,760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Termination Upon</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446,250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571,377</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24,366</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631,760</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1,693,754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 in Control</w:t>
            </w:r>
          </w:p>
        </w:tc>
        <w:tc>
          <w:tcPr>
            <w:tcW w:w="10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Not for Cause</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446,250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106,781</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24,366</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587,397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Termination</w:t>
            </w:r>
          </w:p>
        </w:tc>
        <w:tc>
          <w:tcPr>
            <w:tcW w:w="10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146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Sharyn Leaver</w:t>
            </w:r>
          </w:p>
        </w:tc>
        <w:tc>
          <w:tcPr>
            <w:tcW w:w="146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Control</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459,860</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459,860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Termination Upon</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390,000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399,483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24,366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459,860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1,293,709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Not for Cause</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Termination</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390,000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75,375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24,366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499,741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Nate Swan(4)</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 in Control</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Termination Upon</w:t>
            </w: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 in Control</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Not for Cause</w:t>
            </w: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Termination</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42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0" w:lineRule="exact"/>
        <w:rPr>
          <w:sz w:val="20"/>
          <w:szCs w:val="20"/>
          <w:color w:val="auto"/>
        </w:rPr>
      </w:pPr>
    </w:p>
    <w:p>
      <w:pPr>
        <w:jc w:val="both"/>
        <w:ind w:left="520" w:hanging="512"/>
        <w:spacing w:after="0" w:line="257"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named executive officers has an agreement to receive any salary continuation, variable cash compensation, benefits continuation, acceleration of equity or gross-up in the event such named executive officer dies, becomes disabled, voluntarily terminates his or her employment with Forrester without “Good Reason” or if that named executive officer is terminated by Forrester for cause.</w:t>
      </w:r>
    </w:p>
    <w:p>
      <w:pPr>
        <w:spacing w:after="0" w:line="1"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cost of 12 months of outplacement service in the event of a change in control and 6 months of outplacement service in the event of termination without a change in control.</w:t>
      </w:r>
    </w:p>
    <w:p>
      <w:pPr>
        <w:jc w:val="both"/>
        <w:ind w:left="520" w:hanging="512"/>
        <w:spacing w:after="0" w:line="25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$8.12</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 xml:space="preserve"> the closing price per share of our common stock on December 31, 2025. In the case of unvested options, calculated using the difference between $8.12 and the exercise price of the applicable option, multiplied by the number of unvested shares. In the case of unvested restricted stock units (RSUs), calculated using $8.12 multiplied by the number of shares underlying such unvested RSU (at target in the case of performance-based RSUs).</w:t>
      </w:r>
    </w:p>
    <w:p>
      <w:pPr>
        <w:spacing w:after="0" w:line="1" w:lineRule="exact"/>
        <w:rPr>
          <w:rFonts w:ascii="Times New Roman" w:cs="Times New Roman" w:eastAsia="Times New Roman" w:hAnsi="Times New Roman"/>
          <w:sz w:val="18"/>
          <w:szCs w:val="18"/>
          <w:color w:val="auto"/>
        </w:rPr>
      </w:pPr>
    </w:p>
    <w:p>
      <w:pPr>
        <w:ind w:left="520" w:hanging="512"/>
        <w:spacing w:after="0" w:line="26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Swan was no longer serving as an executive officer as of December 31, 2025, and was thus no longer eligible for any payments under the Severance Plan described above.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 TABLE FOR 2025</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compensation that we paid during the year ended December 31, 2025 to each of our directors, other than Mr. Colony, who was not paid additional compensation for his service as a director and whose compensation is reflected in “Executive Compensation” above.</w:t>
      </w:r>
    </w:p>
    <w:p>
      <w:pPr>
        <w:spacing w:after="0" w:line="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6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20" w:type="dxa"/>
            <w:vAlign w:val="bottom"/>
            <w:gridSpan w:val="2"/>
            <w:vMerge w:val="continue"/>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40" w:type="dxa"/>
            <w:vAlign w:val="bottom"/>
            <w:gridSpan w:val="2"/>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($)(1)(2)(3)</w:t>
            </w:r>
          </w:p>
        </w:tc>
        <w:tc>
          <w:tcPr>
            <w:tcW w:w="126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Bennett</w:t>
            </w:r>
          </w:p>
        </w:tc>
        <w:tc>
          <w:tcPr>
            <w:tcW w:w="8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82,080</w:t>
            </w:r>
          </w:p>
        </w:tc>
        <w:tc>
          <w:tcPr>
            <w:tcW w:w="10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David Boyce(4)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Neil Bradford</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Anthony Friscia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M. Galford(4)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Corinne Munchbach</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Warren Romine</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Yvonne Wassenaar(4)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423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3" w:lineRule="exact"/>
        <w:rPr>
          <w:sz w:val="20"/>
          <w:szCs w:val="20"/>
          <w:color w:val="auto"/>
        </w:rPr>
      </w:pPr>
    </w:p>
    <w:p>
      <w:pPr>
        <w:jc w:val="both"/>
        <w:ind w:left="520" w:hanging="512"/>
        <w:spacing w:after="0" w:line="255"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aggregate grant date fair value of restricted stock unit awards for 2025. The grant date fair value of restricted stock units is based upon the closing price of the Company’s common stock on the date of grant. The amounts set forth may be more or less than the value ultimately realized by the named director based upon, among other things, the value of the Company’s Common Stock at the time of vesting of the restricted stock units and whether such restricted stock units actually vest.</w:t>
      </w:r>
    </w:p>
    <w:p>
      <w:pPr>
        <w:spacing w:after="0" w:line="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 2025, each of the directors then in office, other than Mr. Colony, received 8,000 restricted stock units.</w:t>
      </w:r>
    </w:p>
    <w:p>
      <w:pPr>
        <w:spacing w:after="0" w:line="9" w:lineRule="exact"/>
        <w:rPr>
          <w:rFonts w:ascii="Times New Roman" w:cs="Times New Roman" w:eastAsia="Times New Roman" w:hAnsi="Times New Roman"/>
          <w:sz w:val="18"/>
          <w:szCs w:val="18"/>
          <w:color w:val="auto"/>
        </w:rPr>
      </w:pPr>
    </w:p>
    <w:p>
      <w:pPr>
        <w:ind w:left="520" w:hanging="512"/>
        <w:spacing w:after="0" w:line="260"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the non-employee directors held options to purchase, and restricted stock units for, the number of shares listed next to their names below:</w:t>
      </w:r>
    </w:p>
    <w:p>
      <w:pPr>
        <w:spacing w:after="0" w:line="107" w:lineRule="exact"/>
        <w:rPr>
          <w:sz w:val="20"/>
          <w:szCs w:val="20"/>
          <w:color w:val="auto"/>
        </w:rPr>
      </w:pPr>
    </w:p>
    <w:tbl>
      <w:tblPr>
        <w:tblLayout w:type="fixed"/>
        <w:tblInd w:w="1360" w:type="dxa"/>
        <w:tblCellMar>
          <w:top w:w="0" w:type="dxa"/>
          <w:left w:w="0" w:type="dxa"/>
          <w:bottom w:w="0" w:type="dxa"/>
          <w:right w:w="0" w:type="dxa"/>
        </w:tblCellMar>
      </w:tblP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2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34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0</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tbl>
      <w:tblPr>
        <w:tblLayout w:type="fixed"/>
        <w:tblInd w:w="1360" w:type="dxa"/>
        <w:tblCellMar>
          <w:top w:w="0" w:type="dxa"/>
          <w:left w:w="0" w:type="dxa"/>
          <w:bottom w:w="0" w:type="dxa"/>
          <w:right w:w="0" w:type="dxa"/>
        </w:tblCellMar>
      </w:tblPr>
      <w:tr>
        <w:trPr>
          <w:trHeight w:val="191"/>
        </w:trPr>
        <w:tc>
          <w:tcPr>
            <w:tcW w:w="5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Bennett</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w w:val="99"/>
              </w:rPr>
              <w:t>—</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Neil Bradford</w:t>
            </w:r>
          </w:p>
        </w:tc>
        <w:tc>
          <w:tcPr>
            <w:tcW w:w="100" w:type="dxa"/>
            <w:vAlign w:val="bottom"/>
          </w:tcPr>
          <w:p>
            <w:pPr>
              <w:spacing w:after="0"/>
              <w:rPr>
                <w:sz w:val="18"/>
                <w:szCs w:val="18"/>
                <w:color w:val="auto"/>
              </w:rPr>
            </w:pPr>
          </w:p>
        </w:tc>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9"/>
              </w:rPr>
              <w:t>—</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Anthony Friscia</w:t>
            </w:r>
          </w:p>
        </w:tc>
        <w:tc>
          <w:tcPr>
            <w:tcW w:w="100" w:type="dxa"/>
            <w:vAlign w:val="bottom"/>
          </w:tcPr>
          <w:p>
            <w:pPr>
              <w:spacing w:after="0"/>
              <w:rPr>
                <w:sz w:val="18"/>
                <w:szCs w:val="18"/>
                <w:color w:val="auto"/>
              </w:rPr>
            </w:pPr>
          </w:p>
        </w:tc>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9"/>
              </w:rPr>
              <w:t>—</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Corinne Munchbach</w:t>
            </w:r>
          </w:p>
        </w:tc>
        <w:tc>
          <w:tcPr>
            <w:tcW w:w="100" w:type="dxa"/>
            <w:vAlign w:val="bottom"/>
          </w:tcPr>
          <w:p>
            <w:pPr>
              <w:spacing w:after="0"/>
              <w:rPr>
                <w:sz w:val="18"/>
                <w:szCs w:val="18"/>
                <w:color w:val="auto"/>
              </w:rPr>
            </w:pPr>
          </w:p>
        </w:tc>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9"/>
              </w:rPr>
              <w:t>—</w:t>
            </w:r>
          </w:p>
        </w:tc>
      </w:tr>
      <w:tr>
        <w:trPr>
          <w:trHeight w:val="251"/>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Warren Romine</w:t>
            </w:r>
          </w:p>
        </w:tc>
        <w:tc>
          <w:tcPr>
            <w:tcW w:w="100" w:type="dxa"/>
            <w:vAlign w:val="bottom"/>
          </w:tcPr>
          <w:p>
            <w:pPr>
              <w:spacing w:after="0"/>
              <w:rPr>
                <w:sz w:val="21"/>
                <w:szCs w:val="21"/>
                <w:color w:val="auto"/>
              </w:rPr>
            </w:pPr>
          </w:p>
        </w:tc>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-695960</wp:posOffset>
            </wp:positionV>
            <wp:extent cx="54178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17820" cy="13716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-421640</wp:posOffset>
            </wp:positionV>
            <wp:extent cx="54178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17820" cy="13716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-147320</wp:posOffset>
            </wp:positionV>
            <wp:extent cx="54178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161"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Boyce and Galford and Ms. Wassenaar retired from the Board of Directors effective May 13,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4,000</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4,000</w:t>
      </w:r>
    </w:p>
    <w:p>
      <w:pPr>
        <w:spacing w:after="0" w:line="625" w:lineRule="exact"/>
        <w:rPr>
          <w:sz w:val="20"/>
          <w:szCs w:val="20"/>
          <w:color w:val="auto"/>
        </w:rPr>
      </w:pPr>
    </w:p>
    <w:p>
      <w:pPr>
        <w:sectPr>
          <w:pgSz w:w="11900" w:h="16838" w:orient="portrait"/>
          <w:cols w:equalWidth="0" w:num="2">
            <w:col w:w="8680" w:space="720"/>
            <w:col w:w="1840"/>
          </w:cols>
          <w:pgMar w:left="320" w:top="1130" w:right="339" w:bottom="1440" w:gutter="0" w:footer="0" w:header="0"/>
          <w:type w:val="continuous"/>
        </w:sectPr>
      </w:pPr>
    </w:p>
    <w:p>
      <w:pPr>
        <w:spacing w:after="0" w:line="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non-employee directors receive an annual retainer of $30,000 and members of each Board committee receive an additional annual retainer of $5,000 for each committee on which they serve, with the Chairman of the Audit Committee receiving an additional $8,000 per year and the Chairman of the Compensation and Nominating Committee receiving an additional $5,000 per year. Our lead independent director receives an additional $10,000 annual retainer. Each of these annual fees is payable quarterly in arrears. Members of our Board of Directors are reimbursed for their expenses incurred in connection with attending any meeting.</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Compensation and Nominating Committee of the Board of Directors has the authority under the Forrester Research, Inc. Amended and Restated Equity Incentive Plan (“Equity Incentive Plan”) to grant stock options and RSUs to non-employee directors in such amounts and on such terms as it shall determine at the time of grant. On June 2, 2025, our five non-employee directors at that time each received 8,000 restricted stock units. These RSUs vest in four equal quarterly installments over a one-year period. RSUs granted under the Equity Incentive Plan become vested in full upon a change of control of the Company, unless there is an assumption, substitution or cash-out of such RSUs in connection with the change of control.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Section 953(b) of the Dodd-Frank Wall Street Reform and Consumer Protection Act of 2010 requires most companies with publicly traded stock in the United States to identify the median annual total compensation of their worldwide employee population (other than the chief executive officer) and to compare that amount with the annual total compensation of their chief executive officer. The pay ratio information included below is a reasonable estimate calculated in a manner consistent with Item 402(u) of Regulation S-K.</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identified our median employee using our total employee population as of October 1, 2025 by applying a consistently applied compensation measure across our global employee population. For our consistently applied compensation measure, we used cash compensation (base salary plus bonuses and commissions) paid in the nine months ending September 30, 2025. We used cash compensation as our consistently applied compensation measure as we believe that this measure provides a reasonably accurate depiction of total earnings for the purpose of identifying our median employee. We then calculated the median employee’s total annual compensation in accordance with the requirements of the Summary Compensation Table. Earnings of our employees outside the U.S. were converted to U.S. dollars using the currency exchange rates used for organizational planning purposes, which consider historical and forecasted rates as well as other factors. We did not use any other material estimates, assumptions, adjustments or statistical sampling to determine the worldwide median employee.</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median employee’s total 2025 compensation (other than the CEO) was $132,872. Our Chief Executive Officer’s total 2025 compensation was $673,332, as reported in the Summary Compensation Table. Accordingly, our 2025 CEO to Median Employee Pay Ratio was 5 to 1.</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Please keep in mind that under the SEC’s rules and guidance, there are numerous ways to determine the compensation of a company’s median employee, including the employee population sampled, the elements of pay and benefits used, any assumptions made and the use of statistical sampling. In addition, no two companies have identical employee populations or compensation programs, and pay, benefits and retirement plans differ by country even within the same company. As such, our pay ratio may not be comparable to the pay ratio reported by other companies.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described in greater detail in “Executive Compensation – Compensation Discussion and Analysis,” our executive compensation program reflects a variable pay-for-performance philosophy. The following table and related disclosures provide further “pay versus performance” disclosure with respect to our chief executive officer, also referred to as our principal executive officer (PEO), and our other named executive officers (NEOs), as contemplated by Item 402(v) of Regulation S-K.</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vMerge w:val="restart"/>
            <w:shd w:val="clear" w:color="auto" w:fill="CFF0FC"/>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80" w:type="dxa"/>
            <w:vAlign w:val="bottom"/>
            <w:tcBorders>
              <w:right w:val="single" w:sz="8" w:color="auto"/>
            </w:tcBorders>
            <w:shd w:val="clear" w:color="auto" w:fill="CFF0FC"/>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60" w:type="dxa"/>
            <w:vAlign w:val="bottom"/>
            <w:shd w:val="clear" w:color="auto" w:fill="CFF0FC"/>
          </w:tcPr>
          <w:p>
            <w:pPr>
              <w:spacing w:after="0"/>
              <w:rPr>
                <w:sz w:val="13"/>
                <w:szCs w:val="13"/>
                <w:color w:val="auto"/>
              </w:rPr>
            </w:pPr>
          </w:p>
        </w:tc>
        <w:tc>
          <w:tcPr>
            <w:tcW w:w="1360" w:type="dxa"/>
            <w:vAlign w:val="bottom"/>
            <w:tcBorders>
              <w:right w:val="single" w:sz="8" w:color="auto"/>
            </w:tcBorders>
            <w:shd w:val="clear" w:color="auto" w:fill="CFF0FC"/>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tcBorders>
              <w:right w:val="single" w:sz="8" w:color="auto"/>
            </w:tcBorders>
            <w:shd w:val="clear" w:color="auto" w:fill="CFF0FC"/>
          </w:tcPr>
          <w:p>
            <w:pPr>
              <w:spacing w:after="0"/>
              <w:rPr>
                <w:sz w:val="13"/>
                <w:szCs w:val="13"/>
                <w:color w:val="auto"/>
              </w:rPr>
            </w:pPr>
          </w:p>
        </w:tc>
        <w:tc>
          <w:tcPr>
            <w:tcW w:w="92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0" w:type="dxa"/>
            <w:vAlign w:val="bottom"/>
          </w:tcPr>
          <w:p>
            <w:pPr>
              <w:spacing w:after="0"/>
              <w:rPr>
                <w:sz w:val="1"/>
                <w:szCs w:val="1"/>
                <w:color w:val="auto"/>
              </w:rPr>
            </w:pPr>
          </w:p>
        </w:tc>
      </w:tr>
      <w:tr>
        <w:trPr>
          <w:trHeight w:val="68"/>
        </w:trPr>
        <w:tc>
          <w:tcPr>
            <w:tcW w:w="900" w:type="dxa"/>
            <w:vAlign w:val="bottom"/>
            <w:tcBorders>
              <w:right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80" w:type="dxa"/>
            <w:vAlign w:val="bottom"/>
            <w:vMerge w:val="restart"/>
            <w:shd w:val="clear" w:color="auto" w:fill="CFF0FC"/>
          </w:tcPr>
          <w:p>
            <w:pPr>
              <w:jc w:val="center"/>
              <w:ind w:right="79"/>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Borders>
              <w:right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0" w:type="dxa"/>
            <w:vAlign w:val="bottom"/>
            <w:vMerge w:val="continue"/>
            <w:shd w:val="clear" w:color="auto" w:fill="CFF0FC"/>
          </w:tcPr>
          <w:p>
            <w:pPr>
              <w:spacing w:after="0"/>
              <w:rPr>
                <w:sz w:val="5"/>
                <w:szCs w:val="5"/>
                <w:color w:val="auto"/>
              </w:rPr>
            </w:pPr>
          </w:p>
        </w:tc>
        <w:tc>
          <w:tcPr>
            <w:tcW w:w="100" w:type="dxa"/>
            <w:vAlign w:val="bottom"/>
            <w:tcBorders>
              <w:right w:val="single" w:sz="8" w:color="auto"/>
            </w:tcBorders>
            <w:shd w:val="clear" w:color="auto" w:fill="CFF0FC"/>
          </w:tcPr>
          <w:p>
            <w:pPr>
              <w:spacing w:after="0"/>
              <w:rPr>
                <w:sz w:val="5"/>
                <w:szCs w:val="5"/>
                <w:color w:val="auto"/>
              </w:rPr>
            </w:pPr>
          </w:p>
        </w:tc>
        <w:tc>
          <w:tcPr>
            <w:tcW w:w="1580" w:type="dxa"/>
            <w:vAlign w:val="bottom"/>
            <w:tcBorders>
              <w:right w:val="single" w:sz="8" w:color="auto"/>
            </w:tcBorders>
            <w:gridSpan w:val="2"/>
            <w:vMerge w:val="restart"/>
            <w:shd w:val="clear" w:color="auto" w:fill="CFF0FC"/>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60" w:type="dxa"/>
            <w:vAlign w:val="bottom"/>
            <w:shd w:val="clear" w:color="auto" w:fill="CFF0FC"/>
          </w:tcPr>
          <w:p>
            <w:pPr>
              <w:spacing w:after="0"/>
              <w:rPr>
                <w:sz w:val="5"/>
                <w:szCs w:val="5"/>
                <w:color w:val="auto"/>
              </w:rPr>
            </w:pPr>
          </w:p>
        </w:tc>
        <w:tc>
          <w:tcPr>
            <w:tcW w:w="1360" w:type="dxa"/>
            <w:vAlign w:val="bottom"/>
            <w:tcBorders>
              <w:right w:val="single" w:sz="8" w:color="auto"/>
            </w:tcBorders>
            <w:vMerge w:val="restart"/>
            <w:shd w:val="clear" w:color="auto" w:fill="CFF0FC"/>
          </w:tcPr>
          <w:p>
            <w:pPr>
              <w:jc w:val="center"/>
              <w:ind w:right="23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580" w:type="dxa"/>
            <w:vAlign w:val="bottom"/>
            <w:tcBorders>
              <w:right w:val="single" w:sz="8" w:color="auto"/>
            </w:tcBorders>
            <w:gridSpan w:val="5"/>
            <w:vMerge w:val="restart"/>
            <w:shd w:val="clear" w:color="auto" w:fill="CFF0FC"/>
          </w:tcPr>
          <w:p>
            <w:pPr>
              <w:jc w:val="right"/>
              <w:ind w:right="113"/>
              <w:spacing w:after="0" w:line="146" w:lineRule="exact"/>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80" w:type="dxa"/>
            <w:vAlign w:val="bottom"/>
            <w:shd w:val="clear" w:color="auto" w:fill="CFF0FC"/>
          </w:tcPr>
          <w:p>
            <w:pPr>
              <w:spacing w:after="0"/>
              <w:rPr>
                <w:sz w:val="5"/>
                <w:szCs w:val="5"/>
                <w:color w:val="auto"/>
              </w:rPr>
            </w:pPr>
          </w:p>
        </w:tc>
        <w:tc>
          <w:tcPr>
            <w:tcW w:w="960" w:type="dxa"/>
            <w:vAlign w:val="bottom"/>
            <w:tcBorders>
              <w:right w:val="single" w:sz="8" w:color="auto"/>
            </w:tcBorders>
            <w:vMerge w:val="restart"/>
            <w:shd w:val="clear" w:color="auto" w:fill="CFF0FC"/>
          </w:tcPr>
          <w:p>
            <w:pPr>
              <w:jc w:val="center"/>
              <w:ind w:right="165"/>
              <w:spacing w:after="0" w:line="146"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920" w:type="dxa"/>
            <w:vAlign w:val="bottom"/>
            <w:tcBorders>
              <w:right w:val="single" w:sz="8" w:color="auto"/>
            </w:tcBorders>
            <w:vMerge w:val="restart"/>
            <w:shd w:val="clear" w:color="auto" w:fill="CFF0FC"/>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Year CV</w:t>
            </w:r>
          </w:p>
        </w:tc>
        <w:tc>
          <w:tcPr>
            <w:tcW w:w="0" w:type="dxa"/>
            <w:vAlign w:val="bottom"/>
          </w:tcPr>
          <w:p>
            <w:pPr>
              <w:spacing w:after="0"/>
              <w:rPr>
                <w:sz w:val="1"/>
                <w:szCs w:val="1"/>
                <w:color w:val="auto"/>
              </w:rPr>
            </w:pPr>
          </w:p>
        </w:tc>
      </w:tr>
      <w:tr>
        <w:trPr>
          <w:trHeight w:val="79"/>
        </w:trPr>
        <w:tc>
          <w:tcPr>
            <w:tcW w:w="900" w:type="dxa"/>
            <w:vAlign w:val="bottom"/>
            <w:tcBorders>
              <w:right w:val="single" w:sz="8" w:color="auto"/>
            </w:tcBorders>
            <w:vMerge w:val="restart"/>
            <w:shd w:val="clear" w:color="auto" w:fill="CFF0FC"/>
          </w:tcPr>
          <w:p>
            <w:pPr>
              <w:ind w:left="280"/>
              <w:spacing w:after="0" w:line="146" w:lineRule="exact"/>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shd w:val="clear" w:color="auto" w:fill="CFF0FC"/>
          </w:tcPr>
          <w:p>
            <w:pPr>
              <w:spacing w:after="0"/>
              <w:rPr>
                <w:sz w:val="6"/>
                <w:szCs w:val="6"/>
                <w:color w:val="auto"/>
              </w:rPr>
            </w:pPr>
          </w:p>
        </w:tc>
        <w:tc>
          <w:tcPr>
            <w:tcW w:w="1080" w:type="dxa"/>
            <w:vAlign w:val="bottom"/>
            <w:vMerge w:val="continue"/>
            <w:shd w:val="clear" w:color="auto" w:fill="CFF0FC"/>
          </w:tcPr>
          <w:p>
            <w:pPr>
              <w:spacing w:after="0"/>
              <w:rPr>
                <w:sz w:val="6"/>
                <w:szCs w:val="6"/>
                <w:color w:val="auto"/>
              </w:rPr>
            </w:pPr>
          </w:p>
        </w:tc>
        <w:tc>
          <w:tcPr>
            <w:tcW w:w="120" w:type="dxa"/>
            <w:vAlign w:val="bottom"/>
            <w:tcBorders>
              <w:right w:val="single" w:sz="8" w:color="auto"/>
            </w:tcBorders>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0" w:type="dxa"/>
            <w:vAlign w:val="bottom"/>
            <w:vMerge w:val="restart"/>
            <w:shd w:val="clear" w:color="auto" w:fill="CFF0FC"/>
          </w:tcPr>
          <w:p>
            <w:pPr>
              <w:jc w:val="center"/>
              <w:ind w:right="82"/>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00" w:type="dxa"/>
            <w:vAlign w:val="bottom"/>
            <w:tcBorders>
              <w:right w:val="single" w:sz="8" w:color="auto"/>
            </w:tcBorders>
            <w:shd w:val="clear" w:color="auto" w:fill="CFF0FC"/>
          </w:tcPr>
          <w:p>
            <w:pPr>
              <w:spacing w:after="0"/>
              <w:rPr>
                <w:sz w:val="6"/>
                <w:szCs w:val="6"/>
                <w:color w:val="auto"/>
              </w:rPr>
            </w:pPr>
          </w:p>
        </w:tc>
        <w:tc>
          <w:tcPr>
            <w:tcW w:w="1580" w:type="dxa"/>
            <w:vAlign w:val="bottom"/>
            <w:tcBorders>
              <w:right w:val="single" w:sz="8" w:color="auto"/>
            </w:tcBorders>
            <w:gridSpan w:val="2"/>
            <w:vMerge w:val="continue"/>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1360" w:type="dxa"/>
            <w:vAlign w:val="bottom"/>
            <w:tcBorders>
              <w:right w:val="single" w:sz="8" w:color="auto"/>
            </w:tcBorders>
            <w:vMerge w:val="continue"/>
            <w:shd w:val="clear" w:color="auto" w:fill="CFF0FC"/>
          </w:tcPr>
          <w:p>
            <w:pPr>
              <w:spacing w:after="0"/>
              <w:rPr>
                <w:sz w:val="6"/>
                <w:szCs w:val="6"/>
                <w:color w:val="auto"/>
              </w:rPr>
            </w:pPr>
          </w:p>
        </w:tc>
        <w:tc>
          <w:tcPr>
            <w:tcW w:w="2580" w:type="dxa"/>
            <w:vAlign w:val="bottom"/>
            <w:tcBorders>
              <w:right w:val="single" w:sz="8" w:color="auto"/>
            </w:tcBorders>
            <w:gridSpan w:val="5"/>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960" w:type="dxa"/>
            <w:vAlign w:val="bottom"/>
            <w:tcBorders>
              <w:right w:val="single" w:sz="8" w:color="auto"/>
            </w:tcBorders>
            <w:vMerge w:val="continue"/>
            <w:shd w:val="clear" w:color="auto" w:fill="CFF0FC"/>
          </w:tcPr>
          <w:p>
            <w:pPr>
              <w:spacing w:after="0"/>
              <w:rPr>
                <w:sz w:val="6"/>
                <w:szCs w:val="6"/>
                <w:color w:val="auto"/>
              </w:rPr>
            </w:pPr>
          </w:p>
        </w:tc>
        <w:tc>
          <w:tcPr>
            <w:tcW w:w="920" w:type="dxa"/>
            <w:vAlign w:val="bottom"/>
            <w:tcBorders>
              <w:right w:val="single" w:sz="8" w:color="auto"/>
            </w:tcBorders>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00" w:type="dxa"/>
            <w:vAlign w:val="bottom"/>
            <w:tcBorders>
              <w:right w:val="single" w:sz="8" w:color="auto"/>
            </w:tcBorders>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80" w:type="dxa"/>
            <w:vAlign w:val="bottom"/>
            <w:vMerge w:val="restart"/>
            <w:shd w:val="clear" w:color="auto" w:fill="CFF0FC"/>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to</w:t>
            </w:r>
          </w:p>
        </w:tc>
        <w:tc>
          <w:tcPr>
            <w:tcW w:w="120" w:type="dxa"/>
            <w:vAlign w:val="bottom"/>
            <w:tcBorders>
              <w:right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0" w:type="dxa"/>
            <w:vAlign w:val="bottom"/>
            <w:vMerge w:val="continue"/>
            <w:shd w:val="clear" w:color="auto" w:fill="CFF0FC"/>
          </w:tcPr>
          <w:p>
            <w:pPr>
              <w:spacing w:after="0"/>
              <w:rPr>
                <w:sz w:val="5"/>
                <w:szCs w:val="5"/>
                <w:color w:val="auto"/>
              </w:rPr>
            </w:pPr>
          </w:p>
        </w:tc>
        <w:tc>
          <w:tcPr>
            <w:tcW w:w="100" w:type="dxa"/>
            <w:vAlign w:val="bottom"/>
            <w:tcBorders>
              <w:right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80" w:type="dxa"/>
            <w:vAlign w:val="bottom"/>
            <w:tcBorders>
              <w:right w:val="single" w:sz="8" w:color="auto"/>
            </w:tcBorders>
            <w:vMerge w:val="restart"/>
            <w:shd w:val="clear" w:color="auto" w:fill="CFF0FC"/>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520" w:type="dxa"/>
            <w:vAlign w:val="bottom"/>
            <w:tcBorders>
              <w:right w:val="single" w:sz="8" w:color="auto"/>
            </w:tcBorders>
            <w:gridSpan w:val="2"/>
            <w:vMerge w:val="restart"/>
            <w:shd w:val="clear" w:color="auto" w:fill="CFF0FC"/>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280" w:type="dxa"/>
            <w:vAlign w:val="bottom"/>
            <w:shd w:val="clear" w:color="auto" w:fill="CFF0FC"/>
          </w:tcPr>
          <w:p>
            <w:pPr>
              <w:spacing w:after="0"/>
              <w:rPr>
                <w:sz w:val="5"/>
                <w:szCs w:val="5"/>
                <w:color w:val="auto"/>
              </w:rPr>
            </w:pPr>
          </w:p>
        </w:tc>
        <w:tc>
          <w:tcPr>
            <w:tcW w:w="1360" w:type="dxa"/>
            <w:vAlign w:val="bottom"/>
            <w:gridSpan w:val="3"/>
            <w:vMerge w:val="restart"/>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940" w:type="dxa"/>
            <w:vAlign w:val="bottom"/>
            <w:tcBorders>
              <w:right w:val="single" w:sz="8" w:color="auto"/>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960" w:type="dxa"/>
            <w:vAlign w:val="bottom"/>
            <w:tcBorders>
              <w:right w:val="single" w:sz="8" w:color="auto"/>
            </w:tcBorders>
            <w:shd w:val="clear" w:color="auto" w:fill="CFF0FC"/>
          </w:tcPr>
          <w:p>
            <w:pPr>
              <w:jc w:val="right"/>
              <w:ind w:right="185"/>
              <w:spacing w:after="0" w:line="68" w:lineRule="exact"/>
              <w:rPr>
                <w:sz w:val="20"/>
                <w:szCs w:val="20"/>
                <w:color w:val="auto"/>
              </w:rPr>
            </w:pPr>
            <w:r>
              <w:rPr>
                <w:rFonts w:ascii="Times New Roman" w:cs="Times New Roman" w:eastAsia="Times New Roman" w:hAnsi="Times New Roman"/>
                <w:sz w:val="7"/>
                <w:szCs w:val="7"/>
                <w:b w:val="1"/>
                <w:bCs w:val="1"/>
                <w:color w:val="auto"/>
              </w:rPr>
              <w:t>7</w:t>
            </w:r>
          </w:p>
        </w:tc>
        <w:tc>
          <w:tcPr>
            <w:tcW w:w="920" w:type="dxa"/>
            <w:vAlign w:val="bottom"/>
            <w:tcBorders>
              <w:right w:val="single" w:sz="8" w:color="auto"/>
            </w:tcBorders>
            <w:vMerge w:val="restart"/>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Bookings</w:t>
            </w:r>
          </w:p>
        </w:tc>
        <w:tc>
          <w:tcPr>
            <w:tcW w:w="0" w:type="dxa"/>
            <w:vAlign w:val="bottom"/>
          </w:tcPr>
          <w:p>
            <w:pPr>
              <w:spacing w:after="0"/>
              <w:rPr>
                <w:sz w:val="1"/>
                <w:szCs w:val="1"/>
                <w:color w:val="auto"/>
              </w:rPr>
            </w:pPr>
          </w:p>
        </w:tc>
      </w:tr>
      <w:tr>
        <w:trPr>
          <w:trHeight w:val="81"/>
        </w:trPr>
        <w:tc>
          <w:tcPr>
            <w:tcW w:w="900" w:type="dxa"/>
            <w:vAlign w:val="bottom"/>
            <w:tcBorders>
              <w:right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80" w:type="dxa"/>
            <w:vAlign w:val="bottom"/>
            <w:vMerge w:val="continue"/>
            <w:shd w:val="clear" w:color="auto" w:fill="CFF0FC"/>
          </w:tcPr>
          <w:p>
            <w:pPr>
              <w:spacing w:after="0"/>
              <w:rPr>
                <w:sz w:val="7"/>
                <w:szCs w:val="7"/>
                <w:color w:val="auto"/>
              </w:rPr>
            </w:pPr>
          </w:p>
        </w:tc>
        <w:tc>
          <w:tcPr>
            <w:tcW w:w="120" w:type="dxa"/>
            <w:vAlign w:val="bottom"/>
            <w:tcBorders>
              <w:right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0" w:type="dxa"/>
            <w:vAlign w:val="bottom"/>
            <w:shd w:val="clear" w:color="auto" w:fill="CFF0FC"/>
          </w:tcPr>
          <w:p>
            <w:pPr>
              <w:jc w:val="right"/>
              <w:ind w:right="422"/>
              <w:spacing w:after="0" w:line="81" w:lineRule="exact"/>
              <w:rPr>
                <w:sz w:val="20"/>
                <w:szCs w:val="20"/>
                <w:color w:val="auto"/>
              </w:rPr>
            </w:pPr>
            <w:r>
              <w:rPr>
                <w:rFonts w:ascii="Times New Roman" w:cs="Times New Roman" w:eastAsia="Times New Roman" w:hAnsi="Times New Roman"/>
                <w:sz w:val="8"/>
                <w:szCs w:val="8"/>
                <w:b w:val="1"/>
                <w:bCs w:val="1"/>
                <w:color w:val="auto"/>
              </w:rPr>
              <w:t>2</w:t>
            </w:r>
          </w:p>
        </w:tc>
        <w:tc>
          <w:tcPr>
            <w:tcW w:w="100" w:type="dxa"/>
            <w:vAlign w:val="bottom"/>
            <w:tcBorders>
              <w:right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80" w:type="dxa"/>
            <w:vAlign w:val="bottom"/>
            <w:tcBorders>
              <w:right w:val="single" w:sz="8" w:color="auto"/>
            </w:tcBorders>
            <w:vMerge w:val="continue"/>
            <w:shd w:val="clear" w:color="auto" w:fill="CFF0FC"/>
          </w:tcPr>
          <w:p>
            <w:pPr>
              <w:spacing w:after="0"/>
              <w:rPr>
                <w:sz w:val="7"/>
                <w:szCs w:val="7"/>
                <w:color w:val="auto"/>
              </w:rPr>
            </w:pPr>
          </w:p>
        </w:tc>
        <w:tc>
          <w:tcPr>
            <w:tcW w:w="1520" w:type="dxa"/>
            <w:vAlign w:val="bottom"/>
            <w:tcBorders>
              <w:right w:val="single" w:sz="8" w:color="auto"/>
            </w:tcBorders>
            <w:gridSpan w:val="2"/>
            <w:vMerge w:val="continue"/>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360" w:type="dxa"/>
            <w:vAlign w:val="bottom"/>
            <w:gridSpan w:val="3"/>
            <w:vMerge w:val="continue"/>
            <w:shd w:val="clear" w:color="auto" w:fill="CFF0FC"/>
          </w:tcPr>
          <w:p>
            <w:pPr>
              <w:spacing w:after="0"/>
              <w:rPr>
                <w:sz w:val="7"/>
                <w:szCs w:val="7"/>
                <w:color w:val="auto"/>
              </w:rPr>
            </w:pPr>
          </w:p>
        </w:tc>
        <w:tc>
          <w:tcPr>
            <w:tcW w:w="940" w:type="dxa"/>
            <w:vAlign w:val="bottom"/>
            <w:tcBorders>
              <w:right w:val="single" w:sz="8" w:color="auto"/>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960" w:type="dxa"/>
            <w:vAlign w:val="bottom"/>
            <w:tcBorders>
              <w:right w:val="single" w:sz="8" w:color="auto"/>
            </w:tcBorders>
            <w:shd w:val="clear" w:color="auto" w:fill="CFF0FC"/>
          </w:tcPr>
          <w:p>
            <w:pPr>
              <w:jc w:val="center"/>
              <w:ind w:right="185"/>
              <w:spacing w:after="0" w:line="81" w:lineRule="exact"/>
              <w:rPr>
                <w:sz w:val="20"/>
                <w:szCs w:val="20"/>
                <w:color w:val="auto"/>
              </w:rPr>
            </w:pPr>
            <w:r>
              <w:rPr>
                <w:rFonts w:ascii="Times New Roman" w:cs="Times New Roman" w:eastAsia="Times New Roman" w:hAnsi="Times New Roman"/>
                <w:sz w:val="9"/>
                <w:szCs w:val="9"/>
                <w:b w:val="1"/>
                <w:bCs w:val="1"/>
                <w:color w:val="auto"/>
              </w:rPr>
              <w:t>(millions)</w:t>
            </w:r>
          </w:p>
        </w:tc>
        <w:tc>
          <w:tcPr>
            <w:tcW w:w="920" w:type="dxa"/>
            <w:vAlign w:val="bottom"/>
            <w:tcBorders>
              <w:right w:val="single" w:sz="8" w:color="auto"/>
            </w:tcBorders>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90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center"/>
              <w:ind w:right="39"/>
              <w:spacing w:after="0" w:line="175" w:lineRule="exact"/>
              <w:rPr>
                <w:sz w:val="20"/>
                <w:szCs w:val="20"/>
                <w:color w:val="auto"/>
              </w:rPr>
            </w:pPr>
            <w:r>
              <w:rPr>
                <w:rFonts w:ascii="Times New Roman" w:cs="Times New Roman" w:eastAsia="Times New Roman" w:hAnsi="Times New Roman"/>
                <w:sz w:val="14"/>
                <w:szCs w:val="14"/>
                <w:b w:val="1"/>
                <w:bCs w:val="1"/>
                <w:color w:val="auto"/>
              </w:rPr>
              <w:t>PEO</w:t>
            </w:r>
            <w:r>
              <w:rPr>
                <w:rFonts w:ascii="Times New Roman" w:cs="Times New Roman" w:eastAsia="Times New Roman" w:hAnsi="Times New Roman"/>
                <w:sz w:val="19"/>
                <w:szCs w:val="19"/>
                <w:b w:val="1"/>
                <w:bCs w:val="1"/>
                <w:color w:val="auto"/>
                <w:vertAlign w:val="superscript"/>
              </w:rPr>
              <w:t>1</w:t>
            </w:r>
          </w:p>
        </w:tc>
        <w:tc>
          <w:tcPr>
            <w:tcW w:w="1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PEO</w:t>
            </w:r>
          </w:p>
        </w:tc>
        <w:tc>
          <w:tcPr>
            <w:tcW w:w="10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80" w:type="dxa"/>
            <w:vAlign w:val="bottom"/>
            <w:tcBorders>
              <w:right w:val="single" w:sz="8" w:color="auto"/>
            </w:tcBorders>
            <w:shd w:val="clear" w:color="auto" w:fill="CFF0FC"/>
          </w:tcPr>
          <w:p>
            <w:pPr>
              <w:jc w:val="center"/>
              <w:ind w:right="138"/>
              <w:spacing w:after="0" w:line="175" w:lineRule="exact"/>
              <w:rPr>
                <w:sz w:val="20"/>
                <w:szCs w:val="20"/>
                <w:color w:val="auto"/>
              </w:rPr>
            </w:pPr>
            <w:r>
              <w:rPr>
                <w:rFonts w:ascii="Times New Roman" w:cs="Times New Roman" w:eastAsia="Times New Roman" w:hAnsi="Times New Roman"/>
                <w:sz w:val="14"/>
                <w:szCs w:val="14"/>
                <w:b w:val="1"/>
                <w:bCs w:val="1"/>
                <w:color w:val="auto"/>
                <w:w w:val="99"/>
              </w:rPr>
              <w:t>NEOs</w:t>
            </w:r>
            <w:r>
              <w:rPr>
                <w:rFonts w:ascii="Times New Roman" w:cs="Times New Roman" w:eastAsia="Times New Roman" w:hAnsi="Times New Roman"/>
                <w:sz w:val="19"/>
                <w:szCs w:val="19"/>
                <w:b w:val="1"/>
                <w:bCs w:val="1"/>
                <w:color w:val="auto"/>
                <w:w w:val="99"/>
                <w:vertAlign w:val="superscript"/>
              </w:rPr>
              <w:t>3</w:t>
            </w:r>
          </w:p>
        </w:tc>
        <w:tc>
          <w:tcPr>
            <w:tcW w:w="160" w:type="dxa"/>
            <w:vAlign w:val="bottom"/>
            <w:shd w:val="clear" w:color="auto" w:fill="CFF0FC"/>
          </w:tcPr>
          <w:p>
            <w:pPr>
              <w:spacing w:after="0"/>
              <w:rPr>
                <w:sz w:val="15"/>
                <w:szCs w:val="15"/>
                <w:color w:val="auto"/>
              </w:rPr>
            </w:pPr>
          </w:p>
        </w:tc>
        <w:tc>
          <w:tcPr>
            <w:tcW w:w="1360" w:type="dxa"/>
            <w:vAlign w:val="bottom"/>
            <w:tcBorders>
              <w:right w:val="single" w:sz="8" w:color="auto"/>
            </w:tcBorders>
            <w:shd w:val="clear" w:color="auto" w:fill="CFF0FC"/>
          </w:tcPr>
          <w:p>
            <w:pPr>
              <w:jc w:val="center"/>
              <w:ind w:right="218"/>
              <w:spacing w:after="0" w:line="175" w:lineRule="exact"/>
              <w:rPr>
                <w:sz w:val="20"/>
                <w:szCs w:val="20"/>
                <w:color w:val="auto"/>
              </w:rPr>
            </w:pPr>
            <w:r>
              <w:rPr>
                <w:rFonts w:ascii="Times New Roman" w:cs="Times New Roman" w:eastAsia="Times New Roman" w:hAnsi="Times New Roman"/>
                <w:sz w:val="14"/>
                <w:szCs w:val="14"/>
                <w:b w:val="1"/>
                <w:bCs w:val="1"/>
                <w:color w:val="auto"/>
                <w:w w:val="99"/>
              </w:rPr>
              <w:t>PEO NEOs</w:t>
            </w:r>
            <w:r>
              <w:rPr>
                <w:rFonts w:ascii="Times New Roman" w:cs="Times New Roman" w:eastAsia="Times New Roman" w:hAnsi="Times New Roman"/>
                <w:sz w:val="19"/>
                <w:szCs w:val="19"/>
                <w:b w:val="1"/>
                <w:bCs w:val="1"/>
                <w:color w:val="auto"/>
                <w:w w:val="99"/>
                <w:vertAlign w:val="superscript"/>
              </w:rPr>
              <w:t>4</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tcBorders>
              <w:right w:val="single" w:sz="8" w:color="auto"/>
            </w:tcBorders>
            <w:shd w:val="clear" w:color="auto" w:fill="CFF0FC"/>
          </w:tcPr>
          <w:p>
            <w:pPr>
              <w:spacing w:after="0"/>
              <w:rPr>
                <w:sz w:val="15"/>
                <w:szCs w:val="15"/>
                <w:color w:val="auto"/>
              </w:rPr>
            </w:pPr>
          </w:p>
        </w:tc>
        <w:tc>
          <w:tcPr>
            <w:tcW w:w="920" w:type="dxa"/>
            <w:vAlign w:val="bottom"/>
            <w:tcBorders>
              <w:right w:val="single" w:sz="8" w:color="auto"/>
            </w:tcBorders>
            <w:shd w:val="clear" w:color="auto" w:fill="CFF0FC"/>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Growth</w:t>
            </w:r>
            <w:r>
              <w:rPr>
                <w:rFonts w:ascii="Times New Roman" w:cs="Times New Roman" w:eastAsia="Times New Roman" w:hAnsi="Times New Roman"/>
                <w:sz w:val="19"/>
                <w:szCs w:val="19"/>
                <w:b w:val="1"/>
                <w:bCs w:val="1"/>
                <w:color w:val="auto"/>
                <w:vertAlign w:val="superscript"/>
              </w:rPr>
              <w:t>8</w:t>
            </w:r>
          </w:p>
        </w:tc>
        <w:tc>
          <w:tcPr>
            <w:tcW w:w="0" w:type="dxa"/>
            <w:vAlign w:val="bottom"/>
          </w:tcPr>
          <w:p>
            <w:pPr>
              <w:spacing w:after="0"/>
              <w:rPr>
                <w:sz w:val="1"/>
                <w:szCs w:val="1"/>
                <w:color w:val="auto"/>
              </w:rPr>
            </w:pPr>
          </w:p>
        </w:tc>
      </w:tr>
      <w:tr>
        <w:trPr>
          <w:trHeight w:val="148"/>
        </w:trPr>
        <w:tc>
          <w:tcPr>
            <w:tcW w:w="90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tcBorders>
              <w:right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tcBorders>
              <w:right w:val="single" w:sz="8" w:color="auto"/>
            </w:tcBorders>
            <w:shd w:val="clear" w:color="auto" w:fill="CFF0FC"/>
          </w:tcPr>
          <w:p>
            <w:pPr>
              <w:spacing w:after="0"/>
              <w:rPr>
                <w:sz w:val="12"/>
                <w:szCs w:val="12"/>
                <w:color w:val="auto"/>
              </w:rPr>
            </w:pPr>
          </w:p>
        </w:tc>
        <w:tc>
          <w:tcPr>
            <w:tcW w:w="1200" w:type="dxa"/>
            <w:vAlign w:val="bottom"/>
            <w:gridSpan w:val="2"/>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360" w:type="dxa"/>
            <w:vAlign w:val="bottom"/>
            <w:tcBorders>
              <w:right w:val="single" w:sz="8" w:color="auto"/>
            </w:tcBorders>
            <w:gridSpan w:val="2"/>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tcBorders>
              <w:right w:val="single" w:sz="8" w:color="auto"/>
            </w:tcBorders>
            <w:shd w:val="clear" w:color="auto" w:fill="CFF0FC"/>
          </w:tcPr>
          <w:p>
            <w:pPr>
              <w:spacing w:after="0"/>
              <w:rPr>
                <w:sz w:val="12"/>
                <w:szCs w:val="12"/>
                <w:color w:val="auto"/>
              </w:rPr>
            </w:pPr>
          </w:p>
        </w:tc>
        <w:tc>
          <w:tcPr>
            <w:tcW w:w="9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200" w:type="dxa"/>
            <w:vAlign w:val="bottom"/>
            <w:gridSpan w:val="2"/>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Company TSR</w:t>
            </w:r>
            <w:r>
              <w:rPr>
                <w:rFonts w:ascii="Times New Roman" w:cs="Times New Roman" w:eastAsia="Times New Roman" w:hAnsi="Times New Roman"/>
                <w:sz w:val="19"/>
                <w:szCs w:val="19"/>
                <w:b w:val="1"/>
                <w:bCs w:val="1"/>
                <w:color w:val="auto"/>
                <w:vertAlign w:val="superscript"/>
              </w:rPr>
              <w:t>5</w:t>
            </w:r>
          </w:p>
        </w:tc>
        <w:tc>
          <w:tcPr>
            <w:tcW w:w="20" w:type="dxa"/>
            <w:vAlign w:val="bottom"/>
          </w:tcPr>
          <w:p>
            <w:pPr>
              <w:spacing w:after="0"/>
              <w:rPr>
                <w:sz w:val="12"/>
                <w:szCs w:val="12"/>
                <w:color w:val="auto"/>
              </w:rPr>
            </w:pPr>
          </w:p>
        </w:tc>
        <w:tc>
          <w:tcPr>
            <w:tcW w:w="1360" w:type="dxa"/>
            <w:vAlign w:val="bottom"/>
            <w:tcBorders>
              <w:right w:val="single" w:sz="8" w:color="auto"/>
            </w:tcBorders>
            <w:gridSpan w:val="2"/>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Peer Group TSR</w:t>
            </w:r>
            <w:r>
              <w:rPr>
                <w:rFonts w:ascii="Times New Roman" w:cs="Times New Roman" w:eastAsia="Times New Roman" w:hAnsi="Times New Roman"/>
                <w:sz w:val="19"/>
                <w:szCs w:val="19"/>
                <w:b w:val="1"/>
                <w:bCs w:val="1"/>
                <w:color w:val="auto"/>
                <w:vertAlign w:val="superscript"/>
              </w:rPr>
              <w:t>6</w:t>
            </w:r>
          </w:p>
        </w:tc>
        <w:tc>
          <w:tcPr>
            <w:tcW w:w="8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Borders>
              <w:bottom w:val="single" w:sz="8" w:color="auto"/>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360" w:type="dxa"/>
            <w:vAlign w:val="bottom"/>
            <w:tcBorders>
              <w:bottom w:val="single" w:sz="8" w:color="auto"/>
              <w:right w:val="single" w:sz="8" w:color="auto"/>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Borders>
              <w:bottom w:val="single" w:sz="8" w:color="auto"/>
              <w:right w:val="single" w:sz="8" w:color="auto"/>
            </w:tcBorders>
            <w:shd w:val="clear" w:color="auto" w:fill="CFF0FC"/>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20" w:type="dxa"/>
            <w:vAlign w:val="bottom"/>
            <w:tcBorders>
              <w:bottom w:val="single" w:sz="8" w:color="auto"/>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center"/>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Borders>
              <w:bottom w:val="single" w:sz="8" w:color="auto"/>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right w:val="single" w:sz="8" w:color="auto"/>
            </w:tcBorders>
            <w:shd w:val="clear" w:color="auto" w:fill="CFF0FC"/>
          </w:tcPr>
          <w:p>
            <w:pPr>
              <w:jc w:val="center"/>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(d)</w:t>
            </w: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right w:val="single" w:sz="8" w:color="auto"/>
            </w:tcBorders>
            <w:shd w:val="clear" w:color="auto" w:fill="CFF0FC"/>
          </w:tcPr>
          <w:p>
            <w:pPr>
              <w:jc w:val="center"/>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(e)</w:t>
            </w:r>
          </w:p>
        </w:tc>
        <w:tc>
          <w:tcPr>
            <w:tcW w:w="2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(f)</w:t>
            </w:r>
          </w:p>
        </w:tc>
        <w:tc>
          <w:tcPr>
            <w:tcW w:w="20" w:type="dxa"/>
            <w:vAlign w:val="bottom"/>
            <w:tcBorders>
              <w:bottom w:val="single" w:sz="8" w:color="auto"/>
            </w:tcBorders>
            <w:shd w:val="clear" w:color="auto" w:fill="000000"/>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right w:val="single" w:sz="8" w:color="auto"/>
            </w:tcBorders>
            <w:shd w:val="clear" w:color="auto" w:fill="CFF0FC"/>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(g)</w:t>
            </w:r>
          </w:p>
        </w:tc>
        <w:tc>
          <w:tcPr>
            <w:tcW w:w="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right w:val="single" w:sz="8" w:color="auto"/>
            </w:tcBorders>
            <w:shd w:val="clear" w:color="auto" w:fill="CFF0FC"/>
          </w:tcPr>
          <w:p>
            <w:pPr>
              <w:jc w:val="center"/>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(h)</w:t>
            </w:r>
          </w:p>
        </w:tc>
        <w:tc>
          <w:tcPr>
            <w:tcW w:w="920" w:type="dxa"/>
            <w:vAlign w:val="bottom"/>
            <w:tcBorders>
              <w:bottom w:val="single" w:sz="8" w:color="auto"/>
              <w:right w:val="single" w:sz="8" w:color="CFF0FC"/>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187"/>
        </w:trPr>
        <w:tc>
          <w:tcPr>
            <w:tcW w:w="90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673,332</w:t>
            </w:r>
          </w:p>
        </w:tc>
        <w:tc>
          <w:tcPr>
            <w:tcW w:w="120" w:type="dxa"/>
            <w:vAlign w:val="bottom"/>
          </w:tcPr>
          <w:p>
            <w:pPr>
              <w:spacing w:after="0"/>
              <w:rPr>
                <w:sz w:val="16"/>
                <w:szCs w:val="16"/>
                <w:color w:val="auto"/>
              </w:rPr>
            </w:pPr>
          </w:p>
        </w:tc>
        <w:tc>
          <w:tcPr>
            <w:tcW w:w="10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673,332</w:t>
            </w:r>
          </w:p>
        </w:tc>
        <w:tc>
          <w:tcPr>
            <w:tcW w:w="2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8"/>
              <w:spacing w:after="0" w:line="188" w:lineRule="exact"/>
              <w:rPr>
                <w:sz w:val="20"/>
                <w:szCs w:val="20"/>
                <w:color w:val="auto"/>
              </w:rPr>
            </w:pPr>
            <w:r>
              <w:rPr>
                <w:rFonts w:ascii="Times New Roman" w:cs="Times New Roman" w:eastAsia="Times New Roman" w:hAnsi="Times New Roman"/>
                <w:sz w:val="18"/>
                <w:szCs w:val="18"/>
                <w:color w:val="auto"/>
              </w:rPr>
              <w:t>1,063,798</w:t>
            </w:r>
          </w:p>
        </w:tc>
        <w:tc>
          <w:tcPr>
            <w:tcW w:w="16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58"/>
              <w:spacing w:after="0" w:line="188" w:lineRule="exact"/>
              <w:rPr>
                <w:sz w:val="20"/>
                <w:szCs w:val="20"/>
                <w:color w:val="auto"/>
              </w:rPr>
            </w:pPr>
            <w:r>
              <w:rPr>
                <w:rFonts w:ascii="Times New Roman" w:cs="Times New Roman" w:eastAsia="Times New Roman" w:hAnsi="Times New Roman"/>
                <w:sz w:val="18"/>
                <w:szCs w:val="18"/>
                <w:color w:val="auto"/>
              </w:rPr>
              <w:t>462,942</w:t>
            </w:r>
          </w:p>
        </w:tc>
        <w:tc>
          <w:tcPr>
            <w:tcW w:w="280" w:type="dxa"/>
            <w:vAlign w:val="bottom"/>
          </w:tcPr>
          <w:p>
            <w:pPr>
              <w:jc w:val="right"/>
              <w:ind w:right="119"/>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5"/>
              <w:spacing w:after="0" w:line="188" w:lineRule="exact"/>
              <w:rPr>
                <w:sz w:val="20"/>
                <w:szCs w:val="20"/>
                <w:color w:val="auto"/>
              </w:rPr>
            </w:pPr>
            <w:r>
              <w:rPr>
                <w:rFonts w:ascii="Times New Roman" w:cs="Times New Roman" w:eastAsia="Times New Roman" w:hAnsi="Times New Roman"/>
                <w:sz w:val="18"/>
                <w:szCs w:val="18"/>
                <w:color w:val="auto"/>
              </w:rPr>
              <w:t>19</w:t>
            </w:r>
          </w:p>
        </w:tc>
        <w:tc>
          <w:tcPr>
            <w:tcW w:w="440" w:type="dxa"/>
            <w:vAlign w:val="bottom"/>
            <w:gridSpan w:val="2"/>
          </w:tcPr>
          <w:p>
            <w:pPr>
              <w:jc w:val="right"/>
              <w:ind w:right="268"/>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3"/>
              <w:spacing w:after="0" w:line="188" w:lineRule="exact"/>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45"/>
              <w:spacing w:after="0" w:line="188" w:lineRule="exact"/>
              <w:rPr>
                <w:sz w:val="20"/>
                <w:szCs w:val="20"/>
                <w:color w:val="auto"/>
              </w:rPr>
            </w:pPr>
            <w:r>
              <w:rPr>
                <w:rFonts w:ascii="Times New Roman" w:cs="Times New Roman" w:eastAsia="Times New Roman" w:hAnsi="Times New Roman"/>
                <w:sz w:val="18"/>
                <w:szCs w:val="18"/>
                <w:color w:val="auto"/>
              </w:rPr>
              <w:t>-119.4</w:t>
            </w:r>
          </w:p>
        </w:tc>
        <w:tc>
          <w:tcPr>
            <w:tcW w:w="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970,804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432,335</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8"/>
                <w:szCs w:val="18"/>
                <w:color w:val="auto"/>
              </w:rPr>
              <w:t>-5.7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1,655,159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1,073,951</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w:t>
            </w:r>
          </w:p>
        </w:tc>
        <w:tc>
          <w:tcPr>
            <w:tcW w:w="4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978,306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449,918</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8"/>
                <w:szCs w:val="18"/>
                <w:color w:val="auto"/>
              </w:rPr>
              <w:t>21.8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8"/>
        </w:trPr>
        <w:tc>
          <w:tcPr>
            <w:tcW w:w="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1,134,598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1,324,876</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140</w:t>
            </w:r>
          </w:p>
        </w:tc>
        <w:tc>
          <w:tcPr>
            <w:tcW w:w="4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8"/>
                <w:szCs w:val="18"/>
                <w:color w:val="auto"/>
              </w:rPr>
              <w:t>24.8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-985520</wp:posOffset>
            </wp:positionV>
            <wp:extent cx="5812155"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12155"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423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5" w:lineRule="exact"/>
        <w:rPr>
          <w:sz w:val="20"/>
          <w:szCs w:val="20"/>
          <w:color w:val="auto"/>
        </w:rPr>
      </w:pPr>
    </w:p>
    <w:p>
      <w:pPr>
        <w:jc w:val="both"/>
        <w:ind w:left="520" w:hanging="512"/>
        <w:spacing w:after="0" w:line="257"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(b) are the amounts of total compensation reported for Mr. Colony (our Chief Executive Officer or PEO) for each corresponding year in the “Total” column of the Summary Compensation Table. Refer to “Executive Compensation –Summary Compensation Table.”</w:t>
      </w:r>
    </w:p>
    <w:p>
      <w:pPr>
        <w:spacing w:after="0" w:line="1"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(c) represent the amount of “compensation actually paid” to Mr. Colony, as computed in accordance with Item 402(v) of Regulation S-K. Because Mr. Colony did not receive or hold any equity awards during the years reflected in the table and we do not maintain a pension in which Mr. Colony participates, no additions or deductions from Summary Compensation Table (SCT) total compensation for our PEO are needed to determine the amount of “compensation actually paid” in accordance with Item 402(v) of Regulation S-K.</w:t>
      </w:r>
    </w:p>
    <w:p>
      <w:pPr>
        <w:spacing w:after="0" w:line="1"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average of the amounts reported for the Company’s named executive officers (NEOs) as a group (excluding Mr. Colony, who has served as our CEO in each of the covered years) in the “Total” column of the Summary Compensation Table in each applicable year. The names of each of the NEOs (excluding Mr. Colony) included for purposes of calculating the average amounts in each applicable year are as follow: (i) for 2025, Ryan Darrah, L. Christian Finn, Carrie Johnson, Sharyn Leaver, and Nate Swan; (ii) for 2023 and 2024, L. Christian Finn, Carrie Johnson, Sharyn Leaver, and Nate Swan; (iii) for 2022, L. Christian Finn, Kelley Hippler, Carrie Johnson, Sharyn Leaver, and Sarah Le Roy; and (iv) for 2021, Scott Chouinard, Ryan Darrah, Michael Doyle, L. Christian Finn, Kelley Hippler, and Carrie Johnson.</w:t>
      </w:r>
    </w:p>
    <w:p>
      <w:pPr>
        <w:spacing w:after="0" w:line="2" w:lineRule="exact"/>
        <w:rPr>
          <w:rFonts w:ascii="Times New Roman" w:cs="Times New Roman" w:eastAsia="Times New Roman" w:hAnsi="Times New Roman"/>
          <w:sz w:val="18"/>
          <w:szCs w:val="18"/>
          <w:color w:val="auto"/>
        </w:rPr>
      </w:pPr>
    </w:p>
    <w:p>
      <w:pPr>
        <w:jc w:val="both"/>
        <w:ind w:left="520" w:hanging="512"/>
        <w:spacing w:after="0" w:line="253"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(e) represent the average amount of “compensation actually paid” (CAP) to the NEOs as a group (excluding Mr. Colony), as computed in accordance with Item 402(v) of Regulation S-K. The dollar amounts do not reflect the average amount of compensation earned by or paid to the NEOs as a group (excluding Mr. Colony) during the applicable year. In accordance with the requirements of Item 402(v) of Regulation S-K, the following adjustments were made to the average compensation for the NEOs as a group (excluding Mr. Colony) for each year to determine the compensation actually paid:</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880" w:type="dxa"/>
            <w:vAlign w:val="bottom"/>
            <w:gridSpan w:val="10"/>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Average Non-PEO NEOs SCT Total to CAP Reconciliation:</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0" w:type="dxa"/>
            <w:vAlign w:val="bottom"/>
            <w:tcBorders>
              <w:right w:val="single" w:sz="8" w:color="CFF0FC"/>
            </w:tcBorders>
          </w:tcPr>
          <w:p>
            <w:pPr>
              <w:spacing w:after="0"/>
              <w:rPr>
                <w:sz w:val="10"/>
                <w:szCs w:val="10"/>
                <w:color w:val="auto"/>
              </w:rPr>
            </w:pPr>
          </w:p>
        </w:tc>
        <w:tc>
          <w:tcPr>
            <w:tcW w:w="840" w:type="dxa"/>
            <w:vAlign w:val="bottom"/>
            <w:tcBorders>
              <w:right w:val="single" w:sz="8" w:color="auto"/>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80" w:type="dxa"/>
            <w:vAlign w:val="bottom"/>
            <w:shd w:val="clear" w:color="auto" w:fill="CFF0FC"/>
          </w:tcPr>
          <w:p>
            <w:pPr>
              <w:jc w:val="center"/>
              <w:ind w:right="77"/>
              <w:spacing w:after="0" w:line="124" w:lineRule="exact"/>
              <w:rPr>
                <w:sz w:val="20"/>
                <w:szCs w:val="20"/>
                <w:color w:val="auto"/>
              </w:rPr>
            </w:pPr>
            <w:r>
              <w:rPr>
                <w:rFonts w:ascii="Times New Roman" w:cs="Times New Roman" w:eastAsia="Times New Roman" w:hAnsi="Times New Roman"/>
                <w:sz w:val="14"/>
                <w:szCs w:val="14"/>
                <w:b w:val="1"/>
                <w:bCs w:val="1"/>
                <w:color w:val="auto"/>
              </w:rPr>
              <w:t>Bonus and Non-</w:t>
            </w:r>
          </w:p>
        </w:tc>
        <w:tc>
          <w:tcPr>
            <w:tcW w:w="100" w:type="dxa"/>
            <w:vAlign w:val="bottom"/>
            <w:tcBorders>
              <w:right w:val="single" w:sz="8" w:color="auto"/>
            </w:tcBorders>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80" w:type="dxa"/>
            <w:vAlign w:val="bottom"/>
            <w:tcBorders>
              <w:right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20" w:type="dxa"/>
            <w:vAlign w:val="bottom"/>
            <w:tcBorders>
              <w:right w:val="single" w:sz="8" w:color="auto"/>
            </w:tcBorders>
            <w:vMerge w:val="restart"/>
            <w:shd w:val="clear" w:color="auto" w:fill="CFF0FC"/>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Reported Value of</w:t>
            </w:r>
          </w:p>
        </w:tc>
        <w:tc>
          <w:tcPr>
            <w:tcW w:w="120" w:type="dxa"/>
            <w:vAlign w:val="bottom"/>
            <w:shd w:val="clear" w:color="auto" w:fill="CFF0FC"/>
          </w:tcPr>
          <w:p>
            <w:pPr>
              <w:spacing w:after="0"/>
              <w:rPr>
                <w:sz w:val="10"/>
                <w:szCs w:val="10"/>
                <w:color w:val="auto"/>
              </w:rPr>
            </w:pPr>
          </w:p>
        </w:tc>
        <w:tc>
          <w:tcPr>
            <w:tcW w:w="1260" w:type="dxa"/>
            <w:vAlign w:val="bottom"/>
            <w:tcBorders>
              <w:right w:val="single" w:sz="8" w:color="auto"/>
            </w:tcBorders>
            <w:vMerge w:val="restart"/>
            <w:shd w:val="clear" w:color="auto" w:fill="CFF0FC"/>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240" w:type="dxa"/>
            <w:vAlign w:val="bottom"/>
            <w:shd w:val="clear" w:color="auto" w:fill="CFF0FC"/>
          </w:tcPr>
          <w:p>
            <w:pPr>
              <w:spacing w:after="0"/>
              <w:rPr>
                <w:sz w:val="10"/>
                <w:szCs w:val="10"/>
                <w:color w:val="auto"/>
              </w:rPr>
            </w:pPr>
          </w:p>
        </w:tc>
        <w:tc>
          <w:tcPr>
            <w:tcW w:w="1020" w:type="dxa"/>
            <w:vAlign w:val="bottom"/>
            <w:tcBorders>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CFF0FC"/>
            </w:tcBorders>
          </w:tcPr>
          <w:p>
            <w:pPr>
              <w:spacing w:after="0"/>
              <w:rPr>
                <w:sz w:val="5"/>
                <w:szCs w:val="5"/>
                <w:color w:val="auto"/>
              </w:rPr>
            </w:pPr>
          </w:p>
        </w:tc>
        <w:tc>
          <w:tcPr>
            <w:tcW w:w="840" w:type="dxa"/>
            <w:vAlign w:val="bottom"/>
            <w:tcBorders>
              <w:right w:val="single" w:sz="8" w:color="auto"/>
            </w:tcBorders>
            <w:vMerge w:val="restart"/>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shd w:val="clear" w:color="auto" w:fill="CFF0FC"/>
          </w:tcPr>
          <w:p>
            <w:pPr>
              <w:spacing w:after="0"/>
              <w:rPr>
                <w:sz w:val="5"/>
                <w:szCs w:val="5"/>
                <w:color w:val="auto"/>
              </w:rPr>
            </w:pPr>
          </w:p>
        </w:tc>
        <w:tc>
          <w:tcPr>
            <w:tcW w:w="780" w:type="dxa"/>
            <w:vAlign w:val="bottom"/>
            <w:gridSpan w:val="2"/>
            <w:vMerge w:val="restart"/>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Borders>
              <w:right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80" w:type="dxa"/>
            <w:vAlign w:val="bottom"/>
            <w:vMerge w:val="restart"/>
            <w:shd w:val="clear" w:color="auto" w:fill="CFF0FC"/>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100" w:type="dxa"/>
            <w:vAlign w:val="bottom"/>
            <w:tcBorders>
              <w:right w:val="single" w:sz="8" w:color="auto"/>
            </w:tcBorders>
            <w:shd w:val="clear" w:color="auto" w:fill="CFF0FC"/>
          </w:tcPr>
          <w:p>
            <w:pPr>
              <w:spacing w:after="0"/>
              <w:rPr>
                <w:sz w:val="5"/>
                <w:szCs w:val="5"/>
                <w:color w:val="auto"/>
              </w:rPr>
            </w:pPr>
          </w:p>
        </w:tc>
        <w:tc>
          <w:tcPr>
            <w:tcW w:w="1480" w:type="dxa"/>
            <w:vAlign w:val="bottom"/>
            <w:tcBorders>
              <w:right w:val="single" w:sz="8" w:color="auto"/>
            </w:tcBorders>
            <w:gridSpan w:val="2"/>
            <w:vMerge w:val="restart"/>
            <w:shd w:val="clear" w:color="auto" w:fill="CFF0FC"/>
          </w:tcPr>
          <w:p>
            <w:pPr>
              <w:jc w:val="right"/>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Other Compensation</w:t>
            </w:r>
          </w:p>
        </w:tc>
        <w:tc>
          <w:tcPr>
            <w:tcW w:w="140" w:type="dxa"/>
            <w:vAlign w:val="bottom"/>
            <w:shd w:val="clear" w:color="auto" w:fill="CFF0FC"/>
          </w:tcPr>
          <w:p>
            <w:pPr>
              <w:spacing w:after="0"/>
              <w:rPr>
                <w:sz w:val="5"/>
                <w:szCs w:val="5"/>
                <w:color w:val="auto"/>
              </w:rPr>
            </w:pPr>
          </w:p>
        </w:tc>
        <w:tc>
          <w:tcPr>
            <w:tcW w:w="1080" w:type="dxa"/>
            <w:vAlign w:val="bottom"/>
            <w:tcBorders>
              <w:right w:val="single" w:sz="8" w:color="auto"/>
            </w:tcBorders>
            <w:vMerge w:val="restart"/>
            <w:shd w:val="clear" w:color="auto" w:fill="CFF0FC"/>
          </w:tcPr>
          <w:p>
            <w:pPr>
              <w:jc w:val="right"/>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SCT Total</w:t>
            </w:r>
          </w:p>
        </w:tc>
        <w:tc>
          <w:tcPr>
            <w:tcW w:w="100" w:type="dxa"/>
            <w:vAlign w:val="bottom"/>
            <w:shd w:val="clear" w:color="auto" w:fill="CFF0FC"/>
          </w:tcPr>
          <w:p>
            <w:pPr>
              <w:spacing w:after="0"/>
              <w:rPr>
                <w:sz w:val="5"/>
                <w:szCs w:val="5"/>
                <w:color w:val="auto"/>
              </w:rPr>
            </w:pPr>
          </w:p>
        </w:tc>
        <w:tc>
          <w:tcPr>
            <w:tcW w:w="1420" w:type="dxa"/>
            <w:vAlign w:val="bottom"/>
            <w:tcBorders>
              <w:right w:val="single" w:sz="8" w:color="auto"/>
            </w:tcBorders>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60" w:type="dxa"/>
            <w:vAlign w:val="bottom"/>
            <w:tcBorders>
              <w:right w:val="single" w:sz="8" w:color="auto"/>
            </w:tcBorders>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tcBorders>
              <w:right w:val="single" w:sz="8" w:color="auto"/>
            </w:tcBorders>
            <w:vMerge w:val="restart"/>
            <w:shd w:val="clear" w:color="auto" w:fill="CFF0FC"/>
          </w:tcPr>
          <w:p>
            <w:pPr>
              <w:jc w:val="right"/>
              <w:ind w:right="473"/>
              <w:spacing w:after="0" w:line="149" w:lineRule="exact"/>
              <w:rPr>
                <w:sz w:val="20"/>
                <w:szCs w:val="20"/>
                <w:color w:val="auto"/>
              </w:rPr>
            </w:pPr>
            <w:r>
              <w:rPr>
                <w:rFonts w:ascii="Times New Roman" w:cs="Times New Roman" w:eastAsia="Times New Roman" w:hAnsi="Times New Roman"/>
                <w:sz w:val="14"/>
                <w:szCs w:val="14"/>
                <w:b w:val="1"/>
                <w:bCs w:val="1"/>
                <w:color w:val="auto"/>
              </w:rPr>
              <w:t>CAP</w:t>
            </w:r>
          </w:p>
        </w:tc>
        <w:tc>
          <w:tcPr>
            <w:tcW w:w="0" w:type="dxa"/>
            <w:vAlign w:val="bottom"/>
          </w:tcPr>
          <w:p>
            <w:pPr>
              <w:spacing w:after="0"/>
              <w:rPr>
                <w:sz w:val="1"/>
                <w:szCs w:val="1"/>
                <w:color w:val="auto"/>
              </w:rPr>
            </w:pPr>
          </w:p>
        </w:tc>
      </w:tr>
      <w:tr>
        <w:trPr>
          <w:trHeight w:val="81"/>
        </w:trPr>
        <w:tc>
          <w:tcPr>
            <w:tcW w:w="60" w:type="dxa"/>
            <w:vAlign w:val="bottom"/>
            <w:tcBorders>
              <w:right w:val="single" w:sz="8" w:color="CFF0FC"/>
            </w:tcBorders>
          </w:tcPr>
          <w:p>
            <w:pPr>
              <w:spacing w:after="0"/>
              <w:rPr>
                <w:sz w:val="7"/>
                <w:szCs w:val="7"/>
                <w:color w:val="auto"/>
              </w:rPr>
            </w:pPr>
          </w:p>
        </w:tc>
        <w:tc>
          <w:tcPr>
            <w:tcW w:w="840" w:type="dxa"/>
            <w:vAlign w:val="bottom"/>
            <w:tcBorders>
              <w:right w:val="single" w:sz="8" w:color="auto"/>
            </w:tcBorders>
            <w:vMerge w:val="continue"/>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780" w:type="dxa"/>
            <w:vAlign w:val="bottom"/>
            <w:gridSpan w:val="2"/>
            <w:vMerge w:val="continue"/>
            <w:shd w:val="clear" w:color="auto" w:fill="CFF0FC"/>
          </w:tcPr>
          <w:p>
            <w:pPr>
              <w:spacing w:after="0"/>
              <w:rPr>
                <w:sz w:val="7"/>
                <w:szCs w:val="7"/>
                <w:color w:val="auto"/>
              </w:rPr>
            </w:pPr>
          </w:p>
        </w:tc>
        <w:tc>
          <w:tcPr>
            <w:tcW w:w="120" w:type="dxa"/>
            <w:vAlign w:val="bottom"/>
            <w:tcBorders>
              <w:right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80" w:type="dxa"/>
            <w:vAlign w:val="bottom"/>
            <w:vMerge w:val="continue"/>
            <w:shd w:val="clear" w:color="auto" w:fill="CFF0FC"/>
          </w:tcPr>
          <w:p>
            <w:pPr>
              <w:spacing w:after="0"/>
              <w:rPr>
                <w:sz w:val="7"/>
                <w:szCs w:val="7"/>
                <w:color w:val="auto"/>
              </w:rPr>
            </w:pPr>
          </w:p>
        </w:tc>
        <w:tc>
          <w:tcPr>
            <w:tcW w:w="100" w:type="dxa"/>
            <w:vAlign w:val="bottom"/>
            <w:tcBorders>
              <w:right w:val="single" w:sz="8" w:color="auto"/>
            </w:tcBorders>
            <w:shd w:val="clear" w:color="auto" w:fill="CFF0FC"/>
          </w:tcPr>
          <w:p>
            <w:pPr>
              <w:spacing w:after="0"/>
              <w:rPr>
                <w:sz w:val="7"/>
                <w:szCs w:val="7"/>
                <w:color w:val="auto"/>
              </w:rPr>
            </w:pPr>
          </w:p>
        </w:tc>
        <w:tc>
          <w:tcPr>
            <w:tcW w:w="1480" w:type="dxa"/>
            <w:vAlign w:val="bottom"/>
            <w:tcBorders>
              <w:right w:val="single" w:sz="8" w:color="auto"/>
            </w:tcBorders>
            <w:gridSpan w:val="2"/>
            <w:vMerge w:val="continue"/>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080" w:type="dxa"/>
            <w:vAlign w:val="bottom"/>
            <w:tcBorders>
              <w:right w:val="single" w:sz="8" w:color="auto"/>
            </w:tcBorders>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20" w:type="dxa"/>
            <w:vAlign w:val="bottom"/>
            <w:tcBorders>
              <w:right w:val="single" w:sz="8" w:color="auto"/>
            </w:tcBorders>
            <w:vMerge w:val="restart"/>
            <w:shd w:val="clear" w:color="auto" w:fill="CFF0FC"/>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20" w:type="dxa"/>
            <w:vAlign w:val="bottom"/>
            <w:shd w:val="clear" w:color="auto" w:fill="CFF0FC"/>
          </w:tcPr>
          <w:p>
            <w:pPr>
              <w:spacing w:after="0"/>
              <w:rPr>
                <w:sz w:val="7"/>
                <w:szCs w:val="7"/>
                <w:color w:val="auto"/>
              </w:rPr>
            </w:pPr>
          </w:p>
        </w:tc>
        <w:tc>
          <w:tcPr>
            <w:tcW w:w="1260" w:type="dxa"/>
            <w:vAlign w:val="bottom"/>
            <w:tcBorders>
              <w:right w:val="single" w:sz="8" w:color="auto"/>
            </w:tcBorders>
            <w:vMerge w:val="restart"/>
            <w:shd w:val="clear" w:color="auto" w:fill="CFF0FC"/>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shd w:val="clear" w:color="auto" w:fill="CFF0FC"/>
          </w:tcPr>
          <w:p>
            <w:pPr>
              <w:spacing w:after="0"/>
              <w:rPr>
                <w:sz w:val="7"/>
                <w:szCs w:val="7"/>
                <w:color w:val="auto"/>
              </w:rPr>
            </w:pPr>
          </w:p>
        </w:tc>
        <w:tc>
          <w:tcPr>
            <w:tcW w:w="1020" w:type="dxa"/>
            <w:vAlign w:val="bottom"/>
            <w:tcBorders>
              <w:right w:val="single" w:sz="8" w:color="auto"/>
            </w:tcBorders>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60" w:type="dxa"/>
            <w:vAlign w:val="bottom"/>
            <w:tcBorders>
              <w:right w:val="single" w:sz="8" w:color="CFF0FC"/>
            </w:tcBorders>
          </w:tcPr>
          <w:p>
            <w:pPr>
              <w:spacing w:after="0"/>
              <w:rPr>
                <w:sz w:val="9"/>
                <w:szCs w:val="9"/>
                <w:color w:val="auto"/>
              </w:rPr>
            </w:pPr>
          </w:p>
        </w:tc>
        <w:tc>
          <w:tcPr>
            <w:tcW w:w="840" w:type="dxa"/>
            <w:vAlign w:val="bottom"/>
            <w:tcBorders>
              <w:right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80" w:type="dxa"/>
            <w:vAlign w:val="bottom"/>
            <w:vMerge w:val="restart"/>
            <w:shd w:val="clear" w:color="auto" w:fill="CFF0FC"/>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Borders>
              <w:right w:val="single" w:sz="8" w:color="auto"/>
            </w:tcBorders>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80" w:type="dxa"/>
            <w:vAlign w:val="bottom"/>
            <w:tcBorders>
              <w:right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8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20" w:type="dxa"/>
            <w:vAlign w:val="bottom"/>
            <w:tcBorders>
              <w:right w:val="single" w:sz="8" w:color="auto"/>
            </w:tcBorders>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60" w:type="dxa"/>
            <w:vAlign w:val="bottom"/>
            <w:tcBorders>
              <w:right w:val="single" w:sz="8" w:color="auto"/>
            </w:tcBorders>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20" w:type="dxa"/>
            <w:vAlign w:val="bottom"/>
            <w:tcBorders>
              <w:right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0" w:type="dxa"/>
            <w:vAlign w:val="bottom"/>
            <w:tcBorders>
              <w:right w:val="single" w:sz="8" w:color="CFF0FC"/>
            </w:tcBorders>
          </w:tcPr>
          <w:p>
            <w:pPr>
              <w:spacing w:after="0"/>
              <w:rPr>
                <w:sz w:val="5"/>
                <w:szCs w:val="5"/>
                <w:color w:val="auto"/>
              </w:rPr>
            </w:pPr>
          </w:p>
        </w:tc>
        <w:tc>
          <w:tcPr>
            <w:tcW w:w="840" w:type="dxa"/>
            <w:vAlign w:val="bottom"/>
            <w:tcBorders>
              <w:right w:val="single" w:sz="8" w:color="auto"/>
            </w:tcBorders>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20" w:type="dxa"/>
            <w:vAlign w:val="bottom"/>
            <w:tcBorders>
              <w:right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80" w:type="dxa"/>
            <w:vAlign w:val="bottom"/>
            <w:vMerge w:val="continue"/>
            <w:shd w:val="clear" w:color="auto" w:fill="CFF0FC"/>
          </w:tcPr>
          <w:p>
            <w:pPr>
              <w:spacing w:after="0"/>
              <w:rPr>
                <w:sz w:val="5"/>
                <w:szCs w:val="5"/>
                <w:color w:val="auto"/>
              </w:rPr>
            </w:pPr>
          </w:p>
        </w:tc>
        <w:tc>
          <w:tcPr>
            <w:tcW w:w="100" w:type="dxa"/>
            <w:vAlign w:val="bottom"/>
            <w:tcBorders>
              <w:right w:val="single" w:sz="8" w:color="auto"/>
            </w:tcBorders>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080" w:type="dxa"/>
            <w:vAlign w:val="bottom"/>
            <w:tcBorders>
              <w:right w:val="single" w:sz="8" w:color="auto"/>
            </w:tcBorders>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80" w:type="dxa"/>
            <w:vAlign w:val="bottom"/>
            <w:tcBorders>
              <w:right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20" w:type="dxa"/>
            <w:vAlign w:val="bottom"/>
            <w:tcBorders>
              <w:right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60" w:type="dxa"/>
            <w:vAlign w:val="bottom"/>
            <w:tcBorders>
              <w:right w:val="single" w:sz="8" w:color="auto"/>
            </w:tcBorders>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20" w:type="dxa"/>
            <w:vAlign w:val="bottom"/>
            <w:tcBorders>
              <w:right w:val="single" w:sz="8" w:color="auto"/>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446"/>
        </w:trPr>
        <w:tc>
          <w:tcPr>
            <w:tcW w:w="60" w:type="dxa"/>
            <w:vAlign w:val="bottom"/>
            <w:tcBorders>
              <w:right w:val="single" w:sz="8" w:color="CFF0FC"/>
            </w:tcBorders>
          </w:tcPr>
          <w:p>
            <w:pPr>
              <w:spacing w:after="0"/>
              <w:rPr>
                <w:sz w:val="24"/>
                <w:szCs w:val="24"/>
                <w:color w:val="auto"/>
              </w:rPr>
            </w:pPr>
          </w:p>
        </w:tc>
        <w:tc>
          <w:tcPr>
            <w:tcW w:w="840" w:type="dxa"/>
            <w:vAlign w:val="bottom"/>
            <w:tcBorders>
              <w:bottom w:val="single" w:sz="8" w:color="auto"/>
              <w:right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right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right w:val="single" w:sz="8" w:color="auto"/>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right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20" w:type="dxa"/>
            <w:vAlign w:val="bottom"/>
            <w:tcBorders>
              <w:bottom w:val="single" w:sz="8" w:color="auto"/>
              <w:right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right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right w:val="single" w:sz="8" w:color="auto"/>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 w:type="dxa"/>
            <w:vAlign w:val="bottom"/>
            <w:tcBorders>
              <w:right w:val="single" w:sz="8" w:color="CFF0FC"/>
            </w:tcBorders>
          </w:tcPr>
          <w:p>
            <w:pPr>
              <w:spacing w:after="0"/>
              <w:rPr>
                <w:sz w:val="12"/>
                <w:szCs w:val="12"/>
                <w:color w:val="auto"/>
              </w:rPr>
            </w:pPr>
          </w:p>
        </w:tc>
        <w:tc>
          <w:tcPr>
            <w:tcW w:w="840" w:type="dxa"/>
            <w:vAlign w:val="bottom"/>
            <w:tcBorders>
              <w:bottom w:val="single" w:sz="8" w:color="auto"/>
              <w:right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right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right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right w:val="single" w:sz="8" w:color="auto"/>
            </w:tcBorders>
            <w:shd w:val="clear" w:color="auto" w:fill="CFF0FC"/>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(i)</w:t>
            </w:r>
          </w:p>
        </w:tc>
        <w:tc>
          <w:tcPr>
            <w:tcW w:w="14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right w:val="single" w:sz="8" w:color="auto"/>
            </w:tcBorders>
            <w:shd w:val="clear" w:color="auto" w:fill="CFF0FC"/>
          </w:tcPr>
          <w:p>
            <w:pPr>
              <w:jc w:val="center"/>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(ii)</w:t>
            </w:r>
          </w:p>
        </w:tc>
        <w:tc>
          <w:tcPr>
            <w:tcW w:w="1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right w:val="single" w:sz="8" w:color="auto"/>
            </w:tcBorders>
            <w:shd w:val="clear" w:color="auto" w:fill="CFF0FC"/>
          </w:tcPr>
          <w:p>
            <w:pPr>
              <w:jc w:val="center"/>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(iii)</w:t>
            </w:r>
          </w:p>
        </w:tc>
        <w:tc>
          <w:tcPr>
            <w:tcW w:w="24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840" w:type="dxa"/>
            <w:vAlign w:val="bottom"/>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jc w:val="right"/>
              <w:ind w:right="16"/>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406,322</w:t>
            </w:r>
          </w:p>
        </w:tc>
        <w:tc>
          <w:tcPr>
            <w:tcW w:w="120" w:type="dxa"/>
            <w:vAlign w:val="bottom"/>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59,842</w:t>
            </w:r>
          </w:p>
        </w:tc>
        <w:tc>
          <w:tcPr>
            <w:tcW w:w="500" w:type="dxa"/>
            <w:vAlign w:val="bottom"/>
            <w:gridSpan w:val="2"/>
          </w:tcPr>
          <w:p>
            <w:pPr>
              <w:jc w:val="right"/>
              <w:ind w:right="248"/>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line="188" w:lineRule="exact"/>
              <w:rPr>
                <w:sz w:val="20"/>
                <w:szCs w:val="20"/>
                <w:color w:val="auto"/>
              </w:rPr>
            </w:pPr>
            <w:r>
              <w:rPr>
                <w:rFonts w:ascii="Times New Roman" w:cs="Times New Roman" w:eastAsia="Times New Roman" w:hAnsi="Times New Roman"/>
                <w:sz w:val="18"/>
                <w:szCs w:val="18"/>
                <w:color w:val="auto"/>
              </w:rPr>
              <w:t>13,562</w:t>
            </w:r>
          </w:p>
        </w:tc>
        <w:tc>
          <w:tcPr>
            <w:tcW w:w="14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line="188" w:lineRule="exact"/>
              <w:rPr>
                <w:sz w:val="20"/>
                <w:szCs w:val="20"/>
                <w:color w:val="auto"/>
              </w:rPr>
            </w:pPr>
            <w:r>
              <w:rPr>
                <w:rFonts w:ascii="Times New Roman" w:cs="Times New Roman" w:eastAsia="Times New Roman" w:hAnsi="Times New Roman"/>
                <w:sz w:val="18"/>
                <w:szCs w:val="18"/>
                <w:color w:val="auto"/>
              </w:rPr>
              <w:t>1,063,798</w:t>
            </w:r>
          </w:p>
        </w:tc>
        <w:tc>
          <w:tcPr>
            <w:tcW w:w="10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(585,517)</w:t>
            </w:r>
          </w:p>
        </w:tc>
        <w:tc>
          <w:tcPr>
            <w:tcW w:w="12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(15,339)</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ind w:right="33"/>
              <w:spacing w:after="0" w:line="188" w:lineRule="exact"/>
              <w:rPr>
                <w:sz w:val="20"/>
                <w:szCs w:val="20"/>
                <w:color w:val="auto"/>
              </w:rPr>
            </w:pPr>
            <w:r>
              <w:rPr>
                <w:rFonts w:ascii="Times New Roman" w:cs="Times New Roman" w:eastAsia="Times New Roman" w:hAnsi="Times New Roman"/>
                <w:sz w:val="18"/>
                <w:szCs w:val="18"/>
                <w:b w:val="1"/>
                <w:bCs w:val="1"/>
                <w:color w:val="auto"/>
              </w:rPr>
              <w:t>462,942</w:t>
            </w:r>
          </w:p>
        </w:tc>
        <w:tc>
          <w:tcPr>
            <w:tcW w:w="0" w:type="dxa"/>
            <w:vAlign w:val="bottom"/>
          </w:tcPr>
          <w:p>
            <w:pPr>
              <w:spacing w:after="0"/>
              <w:rPr>
                <w:sz w:val="1"/>
                <w:szCs w:val="1"/>
                <w:color w:val="auto"/>
              </w:rPr>
            </w:pPr>
          </w:p>
        </w:tc>
      </w:tr>
      <w:tr>
        <w:trPr>
          <w:trHeight w:val="216"/>
        </w:trPr>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410,319</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80,645</w:t>
            </w:r>
          </w:p>
        </w:tc>
        <w:tc>
          <w:tcPr>
            <w:tcW w:w="5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17,357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970,804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(462,483)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(75,986)</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432,335</w:t>
            </w:r>
          </w:p>
        </w:tc>
        <w:tc>
          <w:tcPr>
            <w:tcW w:w="0" w:type="dxa"/>
            <w:vAlign w:val="bottom"/>
          </w:tcPr>
          <w:p>
            <w:pPr>
              <w:spacing w:after="0"/>
              <w:rPr>
                <w:sz w:val="1"/>
                <w:szCs w:val="1"/>
                <w:color w:val="auto"/>
              </w:rPr>
            </w:pPr>
          </w:p>
        </w:tc>
      </w:tr>
      <w:tr>
        <w:trPr>
          <w:trHeight w:val="216"/>
        </w:trPr>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408,008</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144,723</w:t>
            </w:r>
          </w:p>
        </w:tc>
        <w:tc>
          <w:tcPr>
            <w:tcW w:w="5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16,928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1,655,159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504,291</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1,073,951</w:t>
            </w:r>
          </w:p>
        </w:tc>
        <w:tc>
          <w:tcPr>
            <w:tcW w:w="0" w:type="dxa"/>
            <w:vAlign w:val="bottom"/>
          </w:tcPr>
          <w:p>
            <w:pPr>
              <w:spacing w:after="0"/>
              <w:rPr>
                <w:sz w:val="1"/>
                <w:szCs w:val="1"/>
                <w:color w:val="auto"/>
              </w:rPr>
            </w:pPr>
          </w:p>
        </w:tc>
      </w:tr>
      <w:tr>
        <w:trPr>
          <w:trHeight w:val="216"/>
        </w:trPr>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355,306</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149,711</w:t>
            </w:r>
          </w:p>
        </w:tc>
        <w:tc>
          <w:tcPr>
            <w:tcW w:w="5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8,317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978,306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(464,972)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(63,417)</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449,918</w:t>
            </w:r>
          </w:p>
        </w:tc>
        <w:tc>
          <w:tcPr>
            <w:tcW w:w="0" w:type="dxa"/>
            <w:vAlign w:val="bottom"/>
          </w:tcPr>
          <w:p>
            <w:pPr>
              <w:spacing w:after="0"/>
              <w:rPr>
                <w:sz w:val="1"/>
                <w:szCs w:val="1"/>
                <w:color w:val="auto"/>
              </w:rPr>
            </w:pPr>
          </w:p>
        </w:tc>
      </w:tr>
      <w:tr>
        <w:trPr>
          <w:trHeight w:val="238"/>
        </w:trPr>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290,528</w:t>
            </w:r>
          </w:p>
        </w:tc>
        <w:tc>
          <w:tcPr>
            <w:tcW w:w="2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376,641</w:t>
            </w:r>
          </w:p>
        </w:tc>
        <w:tc>
          <w:tcPr>
            <w:tcW w:w="5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104,942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1,134,598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(362,487)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552,765</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1,324,876</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60" w:hanging="303"/>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"all other compensation" reported in the SCT for each year shown.</w:t>
      </w:r>
    </w:p>
    <w:p>
      <w:pPr>
        <w:spacing w:after="0" w:line="27"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equity-based awards granted each year as reported in the “Stock Awards” and "Option Awards"</w:t>
      </w:r>
    </w:p>
    <w:p>
      <w:pPr>
        <w:spacing w:after="0" w:line="9" w:lineRule="exact"/>
        <w:rPr>
          <w:sz w:val="20"/>
          <w:szCs w:val="20"/>
          <w:color w:val="auto"/>
        </w:rPr>
      </w:pPr>
    </w:p>
    <w:p>
      <w:pPr>
        <w:ind w:left="5540" w:right="2140" w:hanging="4477"/>
        <w:spacing w:after="0" w:line="260" w:lineRule="auto"/>
        <w:rPr>
          <w:sz w:val="20"/>
          <w:szCs w:val="20"/>
          <w:color w:val="auto"/>
        </w:rPr>
      </w:pPr>
      <w:r>
        <w:rPr>
          <w:rFonts w:ascii="Times New Roman" w:cs="Times New Roman" w:eastAsia="Times New Roman" w:hAnsi="Times New Roman"/>
          <w:sz w:val="18"/>
          <w:szCs w:val="18"/>
          <w:color w:val="auto"/>
        </w:rPr>
        <w:t>columns in the Summary Compensation Table for the applicable year. Because we do not maintain a pension in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left="1060" w:right="20"/>
        <w:spacing w:after="0" w:line="261" w:lineRule="auto"/>
        <w:rPr>
          <w:sz w:val="20"/>
          <w:szCs w:val="20"/>
          <w:color w:val="auto"/>
        </w:rPr>
      </w:pPr>
      <w:r>
        <w:rPr>
          <w:rFonts w:ascii="Times New Roman" w:cs="Times New Roman" w:eastAsia="Times New Roman" w:hAnsi="Times New Roman"/>
          <w:sz w:val="18"/>
          <w:szCs w:val="18"/>
          <w:color w:val="auto"/>
        </w:rPr>
        <w:t>which any NEO participates, no adjustments from the SCT total related to pension value are needed to calculate “compensation actually paid” in accordance with Item 402(v) of Regulation S-K.</w:t>
      </w:r>
    </w:p>
    <w:p>
      <w:pPr>
        <w:jc w:val="both"/>
        <w:ind w:left="1060" w:hanging="303"/>
        <w:spacing w:after="0" w:line="251"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Non-PEO NEOs Equity Award Adjustments: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24"/>
        </w:trPr>
        <w:tc>
          <w:tcPr>
            <w:tcW w:w="20" w:type="dxa"/>
            <w:vAlign w:val="bottom"/>
          </w:tcPr>
          <w:p>
            <w:pPr>
              <w:spacing w:after="0"/>
              <w:rPr>
                <w:sz w:val="10"/>
                <w:szCs w:val="10"/>
                <w:color w:val="auto"/>
              </w:rPr>
            </w:pPr>
          </w:p>
        </w:tc>
        <w:tc>
          <w:tcPr>
            <w:tcW w:w="618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tcBorders>
              <w:right w:val="single" w:sz="8" w:color="auto"/>
            </w:tcBorders>
            <w:shd w:val="clear" w:color="auto" w:fill="CFF0FC"/>
          </w:tcPr>
          <w:p>
            <w:pPr>
              <w:jc w:val="right"/>
              <w:ind w:right="282"/>
              <w:spacing w:after="0" w:line="124"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shd w:val="clear" w:color="auto" w:fill="CFF0FC"/>
          </w:tcPr>
          <w:p>
            <w:pPr>
              <w:spacing w:after="0"/>
              <w:rPr>
                <w:sz w:val="10"/>
                <w:szCs w:val="10"/>
                <w:color w:val="auto"/>
              </w:rPr>
            </w:pPr>
          </w:p>
        </w:tc>
        <w:tc>
          <w:tcPr>
            <w:tcW w:w="780" w:type="dxa"/>
            <w:vAlign w:val="bottom"/>
            <w:tcBorders>
              <w:right w:val="single" w:sz="8" w:color="auto"/>
            </w:tcBorders>
            <w:shd w:val="clear" w:color="auto" w:fill="CFF0FC"/>
          </w:tcPr>
          <w:p>
            <w:pPr>
              <w:jc w:val="right"/>
              <w:ind w:right="302"/>
              <w:spacing w:after="0" w:line="124"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FF0FC"/>
          </w:tcPr>
          <w:p>
            <w:pPr>
              <w:spacing w:after="0"/>
              <w:rPr>
                <w:sz w:val="10"/>
                <w:szCs w:val="10"/>
                <w:color w:val="auto"/>
              </w:rPr>
            </w:pPr>
          </w:p>
        </w:tc>
        <w:tc>
          <w:tcPr>
            <w:tcW w:w="760" w:type="dxa"/>
            <w:vAlign w:val="bottom"/>
            <w:tcBorders>
              <w:right w:val="single" w:sz="8" w:color="auto"/>
            </w:tcBorders>
            <w:shd w:val="clear" w:color="auto" w:fill="CFF0FC"/>
          </w:tcPr>
          <w:p>
            <w:pPr>
              <w:jc w:val="right"/>
              <w:ind w:right="282"/>
              <w:spacing w:after="0" w:line="124"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FF0FC"/>
          </w:tcPr>
          <w:p>
            <w:pPr>
              <w:spacing w:after="0"/>
              <w:rPr>
                <w:sz w:val="10"/>
                <w:szCs w:val="10"/>
                <w:color w:val="auto"/>
              </w:rPr>
            </w:pPr>
          </w:p>
        </w:tc>
        <w:tc>
          <w:tcPr>
            <w:tcW w:w="780" w:type="dxa"/>
            <w:vAlign w:val="bottom"/>
            <w:tcBorders>
              <w:right w:val="single" w:sz="8" w:color="auto"/>
            </w:tcBorders>
            <w:shd w:val="clear" w:color="auto" w:fill="CFF0FC"/>
          </w:tcPr>
          <w:p>
            <w:pPr>
              <w:jc w:val="right"/>
              <w:ind w:right="302"/>
              <w:spacing w:after="0" w:line="124"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FF0FC"/>
          </w:tcPr>
          <w:p>
            <w:pPr>
              <w:spacing w:after="0"/>
              <w:rPr>
                <w:sz w:val="10"/>
                <w:szCs w:val="10"/>
                <w:color w:val="auto"/>
              </w:rPr>
            </w:pPr>
          </w:p>
        </w:tc>
        <w:tc>
          <w:tcPr>
            <w:tcW w:w="780" w:type="dxa"/>
            <w:vAlign w:val="bottom"/>
            <w:tcBorders>
              <w:right w:val="single" w:sz="8" w:color="auto"/>
            </w:tcBorders>
            <w:shd w:val="clear" w:color="auto" w:fill="CFF0FC"/>
          </w:tcPr>
          <w:p>
            <w:pPr>
              <w:jc w:val="right"/>
              <w:ind w:right="302"/>
              <w:spacing w:after="0" w:line="124"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73"/>
        </w:trPr>
        <w:tc>
          <w:tcPr>
            <w:tcW w:w="20" w:type="dxa"/>
            <w:vAlign w:val="bottom"/>
          </w:tcPr>
          <w:p>
            <w:pPr>
              <w:spacing w:after="0"/>
              <w:rPr>
                <w:sz w:val="15"/>
                <w:szCs w:val="15"/>
                <w:color w:val="auto"/>
              </w:rPr>
            </w:pPr>
          </w:p>
        </w:tc>
        <w:tc>
          <w:tcPr>
            <w:tcW w:w="618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tcBorders>
              <w:right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shd w:val="clear" w:color="auto" w:fill="CFF0FC"/>
          </w:tcPr>
          <w:p>
            <w:pPr>
              <w:spacing w:after="0"/>
              <w:rPr>
                <w:sz w:val="15"/>
                <w:szCs w:val="15"/>
                <w:color w:val="auto"/>
              </w:rPr>
            </w:pPr>
          </w:p>
        </w:tc>
        <w:tc>
          <w:tcPr>
            <w:tcW w:w="780" w:type="dxa"/>
            <w:vAlign w:val="bottom"/>
            <w:tcBorders>
              <w:right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shd w:val="clear" w:color="auto" w:fill="CFF0FC"/>
          </w:tcPr>
          <w:p>
            <w:pPr>
              <w:spacing w:after="0"/>
              <w:rPr>
                <w:sz w:val="15"/>
                <w:szCs w:val="15"/>
                <w:color w:val="auto"/>
              </w:rPr>
            </w:pPr>
          </w:p>
        </w:tc>
        <w:tc>
          <w:tcPr>
            <w:tcW w:w="760" w:type="dxa"/>
            <w:vAlign w:val="bottom"/>
            <w:tcBorders>
              <w:right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shd w:val="clear" w:color="auto" w:fill="CFF0FC"/>
          </w:tcPr>
          <w:p>
            <w:pPr>
              <w:spacing w:after="0"/>
              <w:rPr>
                <w:sz w:val="15"/>
                <w:szCs w:val="15"/>
                <w:color w:val="auto"/>
              </w:rPr>
            </w:pPr>
          </w:p>
        </w:tc>
        <w:tc>
          <w:tcPr>
            <w:tcW w:w="780" w:type="dxa"/>
            <w:vAlign w:val="bottom"/>
            <w:tcBorders>
              <w:right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shd w:val="clear" w:color="auto" w:fill="CFF0FC"/>
          </w:tcPr>
          <w:p>
            <w:pPr>
              <w:spacing w:after="0"/>
              <w:rPr>
                <w:sz w:val="15"/>
                <w:szCs w:val="15"/>
                <w:color w:val="auto"/>
              </w:rPr>
            </w:pPr>
          </w:p>
        </w:tc>
        <w:tc>
          <w:tcPr>
            <w:tcW w:w="780" w:type="dxa"/>
            <w:vAlign w:val="bottom"/>
            <w:tcBorders>
              <w:right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20" w:type="dxa"/>
            <w:vAlign w:val="bottom"/>
          </w:tcPr>
          <w:p>
            <w:pPr>
              <w:spacing w:after="0"/>
              <w:rPr>
                <w:sz w:val="17"/>
                <w:szCs w:val="17"/>
                <w:color w:val="auto"/>
              </w:rPr>
            </w:pPr>
          </w:p>
        </w:tc>
        <w:tc>
          <w:tcPr>
            <w:tcW w:w="6180" w:type="dxa"/>
            <w:vAlign w:val="bottom"/>
            <w:tcBorders>
              <w:bottom w:val="single" w:sz="8" w:color="auto"/>
              <w:right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right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right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right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right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61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Plus: Fair Value for Stock Awards Granted in the Covered Year that are Unvested at End of</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Year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450,772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257,486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610,348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347,917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279,050</w:t>
            </w: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Fair Value of Outstanding Unvested Stock Awards from Prior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121,557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(152,787)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(85,607)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(334,414)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(148,321)</w:t>
            </w: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Fair Value of Stock Awards from Prior Years that Vested in the Covered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27,727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(71,058)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(65,488)</w:t>
            </w:r>
          </w:p>
        </w:tc>
      </w:tr>
      <w:tr>
        <w:trPr>
          <w:trHeight w:val="203"/>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Fair Value of Stock Awards Forfeited during the Covered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(47,291)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(97,057)</w:t>
            </w:r>
          </w:p>
        </w:tc>
        <w:tc>
          <w:tcPr>
            <w:tcW w:w="10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(80,580)</w:t>
            </w:r>
          </w:p>
        </w:tc>
      </w:tr>
      <w:tr>
        <w:trPr>
          <w:trHeight w:val="210"/>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Adjustment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552,765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(63,417)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504,291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(75,986)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(15,339)</w:t>
            </w:r>
          </w:p>
        </w:tc>
      </w:tr>
    </w:tbl>
    <w:p>
      <w:pPr>
        <w:spacing w:after="0" w:line="204" w:lineRule="exact"/>
        <w:rPr>
          <w:sz w:val="20"/>
          <w:szCs w:val="20"/>
          <w:color w:val="auto"/>
        </w:rPr>
      </w:pPr>
    </w:p>
    <w:p>
      <w:pPr>
        <w:ind w:left="520" w:right="20" w:hanging="512"/>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TSR is calculated to show the cumulative stockholder return on our common stock during the covered period. We did not pay any dividends in the covered years.</w:t>
      </w:r>
    </w:p>
    <w:p>
      <w:pPr>
        <w:jc w:val="both"/>
        <w:ind w:left="520" w:hanging="512"/>
        <w:spacing w:after="0" w:line="250"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peer group TSR, weighted according to the respective companies’ stock market capitalization at the beginning of each period for which a return is indicated. The peer group used for this purpose is the following published industry index: S&amp;P Small Cap 600 Information Technology.</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reflected in our audited financial statements for the applicable year.</w:t>
      </w:r>
    </w:p>
    <w:p>
      <w:pPr>
        <w:spacing w:after="0" w:line="9" w:lineRule="exact"/>
        <w:rPr>
          <w:rFonts w:ascii="Times New Roman" w:cs="Times New Roman" w:eastAsia="Times New Roman" w:hAnsi="Times New Roman"/>
          <w:sz w:val="18"/>
          <w:szCs w:val="18"/>
          <w:color w:val="auto"/>
        </w:rPr>
      </w:pPr>
    </w:p>
    <w:p>
      <w:pPr>
        <w:jc w:val="both"/>
        <w:ind w:left="520" w:hanging="512"/>
        <w:spacing w:after="0" w:line="255"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Year-over-year CV bookings growth is the percentage increase in bookings of our CV products with respect to a given covered year compared to the prior covered year. For purposes of calculating the 2024 amount, we have excluded CV bookings attributable to our former FeedbackNow business that was divested in August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Performance Measures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described in greater detail in “Executive Compensation – Compensation Discussion and Analysis,” our executive compensation program reflects a variable pay-for-performance philosophy. The most important financial performance measures we used to link executive compensation actually paid to our NEOs, for the most recently completed fiscal year, to our performance are as follows:</w:t>
      </w:r>
    </w:p>
    <w:p>
      <w:pPr>
        <w:spacing w:after="0" w:line="68"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 Bookings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Operating Income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Year-Over-Year CV Bookings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the Information Presented in the Pay versus Performance Table</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utilize several performance measures to align executive compensation with our performance, all of these measures are not presented in the above Pay versus Performance Table. Moreover, we generally seek to incentivize long-term performance, and therefore do not specifically align our performance measures with compensation that is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b w:val="1"/>
          <w:bCs w:val="1"/>
          <w:color w:val="auto"/>
        </w:rPr>
        <w:t>CAP versus TSR</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shown in the chart below, the PEO's and, with the exception of 2023 and 2025, the other NEOs’ CAP amounts are generally aligned with the Company’s TSR. This is due primarily to the Company’s use of equity incentives, which are tied directly to stock price in addition to the company’s financial performance. The increases in the other NEO's CAP amounts for 2023 and 2025 are due primarily to the issuance of stock options, which have value only the extent that our stock price increases over the grant date stock price. The increase in the PEO's CAP amount for 2025 was due to the reinstatement of his base salary to $650,000 after it had been reduced to $1 on an annualized basis from May of 2023 until April of 2025. Prior to reduction in May 2023, Mr. Colony's base salary had been $600,000.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4123055" cy="24771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2305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CAP versus Net Income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shown in the chart below, while the variations in the Company’s net income and the PEO and other NEOs’ CAP have been directionally consistent most years, the decrease in the CAP amounts for the other NEOs was proportionately greater than the decrease in net income in 2022. This is due in large part to the significant emphasis the Company places on equity incentives, which are sensitive to changes in stock price. In addition, the disproportionately large decrease in net income in 2025 was due primarily to goodwill impairment charges of approximately $110.7 million. The increases in the PEO's cap amount for 2025 and the other NEO's CAP amounts for 2023 and 2025 are due to the reasons stated above in "CAP versus TSR." The Company does not use net income to determine compensation levels or incentive plan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4123055" cy="24771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2305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b w:val="1"/>
          <w:bCs w:val="1"/>
          <w:color w:val="auto"/>
        </w:rPr>
        <w:t>CAP versus Company-Selected Measure (CSM)</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chart below compares the PEO and other NEOs’ CAP to our CSM, year-over-year CV bookings growth, which indicates there is a very strong relationship between this CSM and CAP in most years. The increase in the PEO's CAP amount for 2025 and the other NEO's CAP amounts for 2023 and 2025 are due to the reasons stated above in "CAP versus TSR."</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amount of CV bookings is one of the two metrics used in determining the level of payout under our Executive Cash Incentive Plan, with the target level of CV bookings being derived from the targeted year-over-year CV bookings growth percentage reflected in the annual operating plan approved by the Board of Directors. In addition, we believe there is a strong correlation between our CV bookings growth and our stock price, which in turn leads to fluctuations in the CAP to our non-PEO NEOs, who receive equity incentives as part of their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125730</wp:posOffset>
            </wp:positionV>
            <wp:extent cx="5134610" cy="3317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3461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b w:val="1"/>
          <w:bCs w:val="1"/>
          <w:color w:val="auto"/>
        </w:rPr>
        <w:t>TSR: Company versus Peer Group</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shown in the chart below, the Company's 5-year cumulative TSR is less than the companies included in our industry index, the S&amp;P Small Cap 600 Information Technology. For more information regarding the Company’s performance and the companies that the Compensation Committee considers when determining compensation, refer to “Executive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123190</wp:posOffset>
            </wp:positionV>
            <wp:extent cx="5888990" cy="4371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88990" cy="437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contained above under the heading “Pay Versus Performance” shall not be incorporated by reference into any future filing under the Securities Act of 1933, as amended, or the Securities Exchange Act of 1934, as amended, except to the extent that we specifically incorporate it by reference in any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Board of Directors has appointed an Audit Committee composed of three non-employee directors: Mr. Romine (Chair), Mr. Bradford, and Ms. Munchbach. Each of the members of the Audit Committee is “independent” as defined under the NASDAQ Stock Market listing standards. The Board has determined that Mr. Romine is an “audit committee financial expert” under applicable rules of the Securities and Exchange Commission (“SEC”), and the members of the Audit Committee satisfy the NASDAQ financial literacy standards.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Audit Committee is responsible for providing independent oversight of Forrester’s accounting functions and internal controls. The Audit Committee oversees Forrester’s financial reporting process on behalf of the Board of Directors, reviews financial disclosures, and meets privately, outside of the presence of management, with Forrester’s internal auditor and with representatives of the independent registered public accounting firm. The Audit Committee also selects and appoints the independent registered public accounting firm, reviews the performance of the independent registered public accounting firm, and reviews the independent registered public accounting firm’s fees. The Audit Committee operates under a written charter adopted by the Board of Directors.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fulfilling its oversight responsibilities, the Audit Committee reviewed and discussed Forrester’s audited financial statements for the fiscal year ended December 31, 2025 with Forrester’s management and with PricewaterhouseCoopers LLP (“PricewaterhouseCoopers”), Forrester’s independent registered public accounting firm. The Audit Committee also reviewed the report of management contained in Forrester’s Annual Report on Form 10-K for the year ended December 31, 2025 filed with the SEC, as well as PricewaterhouseCoopers’ report included in Forrester’s Annual Report on Form 10-K related to its audit of (i) the consolidated financial statements and (ii) the effectiveness of internal control over financial reporting.</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has discussed with PricewaterhouseCoopers the matters required to be discussed under the rules adopted by the Public Company Accounting Oversight Board (“PCAOB”). The Audit Committee has received the written disclosures and the letter from PricewaterhouseCoopers required by the PCAOB regarding PricewaterhouseCoopers’ communications with the Audit Committee concerning independence and has discussed with PricewaterhouseCoopers their independence.</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and discussions noted above, the Audit Committee recommended to the Board of Directors, and the Board of Directors approved, the inclusion of the audited financial statements in our Annual Report on Form 10-K for the fiscal year ended December 31, 2025 for filing with the SEC.</w:t>
      </w:r>
    </w:p>
    <w:p>
      <w:pPr>
        <w:spacing w:after="0" w:line="17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AUDIT COMMITTEE OF THE BOARD 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Warren Romine, Chair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Neil Bradford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Corinne Munchbach</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contained in the report above shall not be deemed to be “soliciting material” or to be “filed” with the SEC, nor shall such information be incorporated by reference into any future filing under the Securities Act of 1933, as amended, or the Securities Exchange Act of 1934, as amended, except to the extent that we specifically incorporate it by reference in any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officers and directors, and persons who own more than 10% of our common stock to file reports of ownership and changes in ownership on Forms 3, 4 and 5 with the Securities and Exchange Commission (“SEC”). Officers, directors and greater than 10% beneficial stockholders are required by SEC regulation to furnish to us copies of all Forms 3, 4 and 5 they file. Based solely on our review of copies of such forms which we received, we believe that all of our officers, directors, and greater than 10% beneficial owners complied on a timely basis with all filing requirements with respect to transactions during 2025, except for one report filed for Neil Bradford, one of our directors, with respect to shares withheld to satisfy tax withholding obligations upon the vesting of restricted stock units in 2025, and one report filed for Scott Chouinard, our Chief Accounting Officer and Treasurer, with respect to the vesting of restricted stock units, and shares withheld to satisfy tax withholding obligations upon such vesting, in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Registration Rights and Non-Competition Agreement</w:t>
      </w:r>
      <w:r>
        <w:rPr>
          <w:rFonts w:ascii="Times New Roman" w:cs="Times New Roman" w:eastAsia="Times New Roman" w:hAnsi="Times New Roman"/>
          <w:sz w:val="18"/>
          <w:szCs w:val="18"/>
          <w:color w:val="auto"/>
        </w:rPr>
        <w:t>. At the time of our initial public offering, we entered into a registration rights and non-competition agreement with Mr. Colony which provides that if Mr. Colony’s employment with us is terminated he will not compete with us for the one year period after the date of such termination. The agreement also provides that in the event we propose to file a registration statement under the Securities Act of 1933, as amended, with respect to an offering by us for our own account or the account of another person, or both, Mr. Colony shall be entitled to include shares held by him in such a registration, subject to the right of the managing underwriter of any such offering to exclude some or all of such shares from such registration if and to the extent the inclusion of the shares would adversely affect the marketing of the shares to be sold by us. The agreement also provides that Mr. Colony may require us to register shares under the Securities Act with a fair market value of at least $5 million, except that we are not required to effect such registration more than twice or at certain times described in the agreement. The agreement also provides that we will pay all expenses incurred in connection with such registration.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its amended and restated charter, our Audit Committee has responsibility for the review and approval of all transactions between the Company and any related parties or affiliates of the Company, its officers, and directors.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Related persons can include any of our directors or executive officers, certain of our stockholders, and any of their immediate family members. In evaluating related person transactions, the committee members apply the same standards they apply to their general responsibilities as members of a committee of the board of directors and as individual directors. The committee will approve a related person transaction when, in its good faith judgment, the transaction is in the best interest of the Company. To identify related person transactions, each year we require our directors and officers to complete a questionnaire identifying any transactions with the Company in which the officer or director or their family members have an interest. In addition, our Code of Business Conduct and Ethics includes our expectation that all directors, officers and employees who may have a potential or apparent conflict of interest will notify our legal department.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31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1996, we adopted an Employee Stock Purchase Plan (the “Purchase Plan”) to provide a method by which our eligible employees may use voluntary, systematic payroll deductions to purchase shares of our common stock and thus acquire an interest in the future of our company. A total of 400,000 shares of common stock were initially available for purchase under the Purchase Plan. In 2002, our stockholders approved adding an additional 500,000 shares available for purchase under the Purchase Plan, in 2009 they approved adding an additional 600,000 shares, in 2018 they approved adding an additional 400,000 shares, and in 2022 they approved adding an additional 600,000 shares. As of the record date, approximately 2,287,144 shares of common stock had been purchased under the Purchase Plan, and approximately 212,856 shares remained available for purchase.</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25, 2026, our Board of Directors voted, subject to approval by our stockholders, to further amend and restate the Purchase Plan in order to increase the number of shares of common stock available for purchase under the plan by 450,000 shares. Our Board of Directors believes that the Purchase Plan, as so amended, will allow us to attract and retain talented professionals and help align our employees’ incentives with the objective of enhancing stockholder value.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the key features of the Purchase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acting through our authorized officers, administers the Purchase Plan. The Board of Directors has properly delegated its authority to administer the Purchase Plan to the Compensation and Nominating Committee of the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Eligible Employees</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Each employee whose customary employment is more than 20 hours per week is eligible to participate in the Purchase Plan. The number of employees participating in the Purchase Plan as of the record date was approximately 159.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Maximum Number of Shares</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Currently, up to 212,856 shares of our common stock remain available for purchase under the Purchase Plan. Our Board of Directors approved and recommends that the stockholders approve an increase of an additional 450,000 shares of our common stock available for purchase under the Purchase Plan. The number of shares available for purchase under the Purchase Plan is subject to adjustments for stock splits, stock dividends, recapitalizations, mergers, consolidations, or other changes in our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of Participation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 eligible employee may elect to participate in the Purchase Plan by executing and providing to us a payroll deduction authorization form at least 15 days prior to the first day of any six-month period in which eligible employees are granted options (as defined below) under the Purchase Plan. We refer to this six-month period as the “option period.” Such eligible employee then becomes a “participant” on the first day of the option period and remains a participant until his or her participation is terminated as provided in the Purchase Plan.</w:t>
      </w:r>
    </w:p>
    <w:p>
      <w:pPr>
        <w:spacing w:after="0" w:line="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By completing a payroll deduction authorization form, each participant designates a whole percentage of compensation to be withheld. The maximum amount that may be withheld per option period is $10,000, and the percentage withheld must not be less than 2% or more than 10% of compensation. During an option period and upon written notice, a participant may decrease (but not increase) the percentage — by whole percentage points — of compensation withheld. We maintain a withholding account reflecting each participant’s payroll deductions during an option period.</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At the beginning of each option period, a participant is granted the right to purchase shares of our common stock under the Purchase Plan. We refer to this right as an “option.” On the last day of the option period, the option is deemed to be exercised for the number of whole shares equal to the quotient obtained by dividing the balance in the participant’s withholding account by the purchase price of our common stock. The Purchase Plan provides for a purchase price of our common stock equal to the lesser of (a) 85% of the fair market value of our common stock on the date of purchase (which is the last business day of the applicable option period) or (b) 85% of the fair market value on the first day of the applicable option period. The Purchase Plan defines fair market value as the closing price of our common stock on the relevant day. As soon as practicable after the end of an option period, we issue the shares purchased under the stock purchase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Holding Period</w:t>
      </w:r>
    </w:p>
    <w:p>
      <w:pPr>
        <w:spacing w:after="0" w:line="33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shares of our common stock issued under the Purchase Plan to a participant pursuant to the exercise of an option may not be sold or otherwise transferred or encumbered for one year after the exercise date of the applicable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Cancellation, Withdrawal, and Termination</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participant who holds an option may cancel it at any time by written notice not less than two business days prior to the end of the applicable option period. A participant may also terminate a payroll deduction at any time by written notice. Upon any such cancellation or termination, the participant’s withholding account balance will be returned to the participant, without interest. Once a participant cancels or terminates participation, he or she must wait until a subsequent option period to rejoin the Purchase Plan.</w:t>
      </w:r>
    </w:p>
    <w:p>
      <w:pPr>
        <w:spacing w:after="0" w:line="7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An eligible employee will cease to be a participant upon termination of employment for any reason, and any option held by such participant under the Purchase Plan will be deemed cancelled. We will return the balance of the withholding account to the participant, who will have no further rights under the Purchase Plan.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of Directors may terminate or suspend the Purchase Plan at any time.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 Under the Purchase Plan</w:t>
      </w:r>
    </w:p>
    <w:p>
      <w:pPr>
        <w:spacing w:after="0" w:line="13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Because benefits under the Purchase Plan will depend on employees’ elections to participate and the fair market value of our common stock at various future dates, it is not possible to determine the benefits that will be received by executive officers and other employees if the Purchase Plan is approved by the stockholders. Non-employee directors are not eligible to participate in the Purchase Plan. During the fiscal year ended December 31, 2025, the following persons or groups purchased shares of common stock under the Purchase Plan as follows:</w:t>
      </w:r>
    </w:p>
    <w:tbl>
      <w:tblPr>
        <w:tblLayout w:type="fixed"/>
        <w:tblInd w:w="0" w:type="dxa"/>
        <w:tblCellMar>
          <w:top w:w="0" w:type="dxa"/>
          <w:left w:w="0" w:type="dxa"/>
          <w:bottom w:w="0" w:type="dxa"/>
          <w:right w:w="0" w:type="dxa"/>
        </w:tblCellMar>
      </w:tblPr>
      <w:tr>
        <w:trPr>
          <w:trHeight w:val="153"/>
        </w:trPr>
        <w:tc>
          <w:tcPr>
            <w:tcW w:w="7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ind w:right="268"/>
              <w:spacing w:after="0" w:line="153"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40" w:type="dxa"/>
            <w:vAlign w:val="bottom"/>
          </w:tcPr>
          <w:p>
            <w:pPr>
              <w:spacing w:after="0"/>
              <w:rPr>
                <w:sz w:val="15"/>
                <w:szCs w:val="15"/>
                <w:color w:val="auto"/>
              </w:rPr>
            </w:pPr>
          </w:p>
        </w:tc>
        <w:tc>
          <w:tcPr>
            <w:tcW w:w="17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00" w:type="dxa"/>
            <w:vAlign w:val="bottom"/>
          </w:tcPr>
          <w:p>
            <w:pPr>
              <w:spacing w:after="0"/>
              <w:rPr>
                <w:sz w:val="15"/>
                <w:szCs w:val="15"/>
                <w:color w:val="auto"/>
              </w:rPr>
            </w:pPr>
          </w:p>
        </w:tc>
        <w:tc>
          <w:tcPr>
            <w:tcW w:w="16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Purchase Price ($)</w:t>
            </w:r>
          </w:p>
        </w:tc>
      </w:tr>
      <w:tr>
        <w:trPr>
          <w:trHeight w:val="20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George F. Colony</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 Christian Finn</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Ryan Darrah</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Secretary</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Carrie Johnson</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Chief Product Officer</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1,194</w:t>
            </w:r>
          </w:p>
        </w:tc>
        <w:tc>
          <w:tcPr>
            <w:tcW w:w="1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Sharyn Leaver</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Chief Research Officer</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Nate Swan</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Chief Sales Officer</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1,779</w:t>
            </w:r>
          </w:p>
        </w:tc>
        <w:tc>
          <w:tcPr>
            <w:tcW w:w="1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as a group (9 persons)</w:t>
            </w:r>
          </w:p>
        </w:tc>
        <w:tc>
          <w:tcPr>
            <w:tcW w:w="1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2,973</w:t>
            </w:r>
          </w:p>
        </w:tc>
        <w:tc>
          <w:tcPr>
            <w:tcW w:w="1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current non-employee directors as a group</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employees, including all current officers who are not executive officers, as a group</w:t>
            </w:r>
          </w:p>
        </w:tc>
        <w:tc>
          <w:tcPr>
            <w:tcW w:w="1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143,007</w:t>
            </w:r>
          </w:p>
        </w:tc>
        <w:tc>
          <w:tcPr>
            <w:tcW w:w="19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8.84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Aspects of the Purchase Plan</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Purchase Plan is intended to qualify as an “employee stock purchase plan” or ESPP under Section 423 of the Internal Revenue Code. The following summary of certain federal income tax consequences assumes that the Purchase Plan so qualifies. The summary does not purport to be complete and, among other things, does not discuss the income tax laws of any municipality, state, or foreign country.</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No taxable income results when a Purchase Plan participant is granted or exercises an option. If the participant disposes of the shares acquired upon exercise more than two years after the date of grant of the option and more than one year after exercise, or dies at any time while holding the shares, the disposition will result in ordinary income equal to the lesser of (i) 15% of the fair market value of the stock at the time the option was granted, or (ii) the excess, if any, of the fair market value of the stock at the time of disposition or death over the exercise price. We will not be entitled to a deduction for this ordinary income amount. A participant who disposes of the shares during the one-year or two-year holding periods described above will have ordinary income in the year of the disposition equal to the excess of the fair market value of the stock at the time the option was exercised over the exercise price, and a corresponding deduction will be available to us. Any additional gain, or any loss, recognized by the participant in connection with the disposition will be taxable as a capital gain or loss, long-term or short-term depending on the participant’s holding period in the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Market Value of Our Common Stock</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closing price of our common stock, as reported on the Nasdaq Global Select Market on March 26, 2026, was $5.84 per share.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and Vote</w:t>
      </w:r>
    </w:p>
    <w:p>
      <w:pPr>
        <w:spacing w:after="0" w:line="13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believes that the increase in the number of shares available under the Purchase Plan will promote the interests of the stockholders and enable us to attract, retain and compensate employees.</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OUR BOARD OF DIRECTORS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APPROVAL OF THE AMENDED AND RESTATED EMPLOYEE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PURCHASE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225" w:lineRule="exact"/>
        <w:rPr>
          <w:sz w:val="20"/>
          <w:szCs w:val="20"/>
          <w:color w:val="auto"/>
        </w:rPr>
      </w:pPr>
    </w:p>
    <w:p>
      <w:pPr>
        <w:jc w:val="center"/>
        <w:ind w:left="340" w:right="2140"/>
        <w:spacing w:after="0" w:line="268" w:lineRule="auto"/>
        <w:rPr>
          <w:sz w:val="20"/>
          <w:szCs w:val="20"/>
          <w:color w:val="auto"/>
        </w:rPr>
      </w:pPr>
      <w:r>
        <w:rPr>
          <w:rFonts w:ascii="Times New Roman" w:cs="Times New Roman" w:eastAsia="Times New Roman" w:hAnsi="Times New Roman"/>
          <w:sz w:val="18"/>
          <w:szCs w:val="18"/>
          <w:b w:val="1"/>
          <w:bCs w:val="1"/>
          <w:color w:val="auto"/>
        </w:rPr>
        <w:t>RATIFICATION OF THE APPOINTMENT OF PRICEWATERHOUSECOOPERS LLP AS OUR INDEPENDENT REGISTERED PUBLIC ACCOUNTING FIRM FOR THE FISCAL YEAR ENDING DECEMBER 31, 2026</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PricewaterhouseCoopers LLP audited our financial statements for the fiscal year ended December 31, 2025. Our Audit Committee has selected PricewaterhouseCoopers LLP as our independent registered public accounting firm for the fiscal year ending December 31, 2026. Although stockholder approval of the selection of PricewaterhouseCoopers LLP is not required by law, our Board of Directors believes that it is advisable to give stockholders an opportunity to ratify this selection.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stockholders do not approve this proposal at the 2026 annual meeting, our Audit Committee will reconsider its selection of PricewaterhouseCoopers LLP. If stockholders do ratify this appointment, the Audit Committee, which has direct authority to engage our independent registered public accounting firm, may appoint a different independent registered public accounting firm at any time during the year if it determines that the change would be in the best interests of Forrester and our stockholders.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has approved all services provided to Forrester by PricewaterhouseCoopers LLP during 2025. Representatives of PricewaterhouseCoopers LLP are expected to be present at the 2026 annual meeting. They will have the opportunity to make a statement if they desire to do so and will also be available to respond to appropriate questions from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Auditors’ Fees and Other Matters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fees billed or expected to be billed by PricewaterhouseCoopers LLP (“PwC”) and its affiliates for fiscal 2025 and fiscal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80" w:type="dxa"/>
            <w:vAlign w:val="bottom"/>
          </w:tcPr>
          <w:p>
            <w:pPr>
              <w:spacing w:after="0"/>
              <w:rPr>
                <w:sz w:val="15"/>
                <w:szCs w:val="15"/>
                <w:color w:val="auto"/>
              </w:rPr>
            </w:pPr>
          </w:p>
        </w:tc>
      </w:tr>
      <w:tr>
        <w:trPr>
          <w:trHeight w:val="209"/>
        </w:trPr>
        <w:tc>
          <w:tcPr>
            <w:tcW w:w="1700" w:type="dxa"/>
            <w:vAlign w:val="bottom"/>
          </w:tcPr>
          <w:p>
            <w:pPr>
              <w:spacing w:after="0"/>
              <w:rPr>
                <w:sz w:val="18"/>
                <w:szCs w:val="18"/>
                <w:color w:val="auto"/>
              </w:rPr>
            </w:pPr>
          </w:p>
        </w:tc>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2,055,100</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1,760,696</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18"/>
                <w:szCs w:val="18"/>
                <w:color w:val="auto"/>
              </w:rPr>
            </w:pPr>
          </w:p>
        </w:tc>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Fees(3)</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19,946</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2,079,169</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1,782,767</w:t>
            </w:r>
          </w:p>
        </w:tc>
        <w:tc>
          <w:tcPr>
            <w:tcW w:w="80" w:type="dxa"/>
            <w:vAlign w:val="bottom"/>
            <w:shd w:val="clear" w:color="auto" w:fill="CFF0FC"/>
          </w:tcPr>
          <w:p>
            <w:pPr>
              <w:spacing w:after="0"/>
              <w:rPr>
                <w:sz w:val="18"/>
                <w:szCs w:val="18"/>
                <w:color w:val="auto"/>
              </w:rPr>
            </w:pPr>
          </w:p>
        </w:tc>
      </w:tr>
      <w:tr>
        <w:trPr>
          <w:trHeight w:val="135"/>
        </w:trPr>
        <w:tc>
          <w:tcPr>
            <w:tcW w:w="17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103" w:lineRule="exact"/>
        <w:rPr>
          <w:sz w:val="20"/>
          <w:szCs w:val="20"/>
          <w:color w:val="auto"/>
        </w:rPr>
      </w:pPr>
    </w:p>
    <w:p>
      <w:pPr>
        <w:jc w:val="both"/>
        <w:ind w:left="520" w:hanging="512"/>
        <w:spacing w:after="0" w:line="257"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are fees related to professional services rendered by PwC and its affiliates in connection with the audit of our financial statements and our internal controls over financial reporting, the reviews of our interim financial statements included in each of our quarterly reports on Form 10-Q, international statutory audits, and review of other SEC filings.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audit-related fees in fiscal 2025 or fiscal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are fees billed for professional services related to tax compliance and tax consulting services.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licenses to web-based accounting and finance reference materials.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Committee’s Pre-Approval Policy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Audit Committee approves the engagement of our independent registered public accounting firm to render any audit or non-audit services. At a regularly scheduled Audit Committee meeting, management or a representative of the Company’s independent registered public accounting firm summarizes the services to be provided by the firm and the fees that will be charged for the services. Thereafter, if new services or dollar amounts in excess of those pre-approved at the meeting are proposed, they are either presented for pre-approval at the next meeting of the Audit Committee or approved by the Chair of the Audit Committee pursuant to delegated authority. At subsequent meetings, the Audit Committee is provided a listing of any newly pre-approved services since the last meeting, and an updated projection for the current year of the estimated annual fees to be paid to the firm for all pre-approved audit and permissible non-audit services.</w:t>
      </w:r>
    </w:p>
    <w:p>
      <w:pPr>
        <w:spacing w:after="0" w:line="29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THAT</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THE STOCKHOLDERS VOTE FOR RATIFICATION OF THE APPOINTMENT OF</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PRICEWATERHOUSECOOPERS LLP AS OUR INDEPENDENT REGISTERED PUBLIC</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ACCOUNTING FIRM FOR THE FISCAL YEAR ENDING DECEMBER 31, 2026.</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NON-BINDING VOTE ON EXECUTIVE COMPENSATION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implemented an executive compensation program that rewards performance. Our executive compensation program is designed to attract, retain and motivate the key individuals who are most capable of contributing to the success of our Company and building long-term value for our stockholders. The elements of our executives’ total compensation are base salary, cash incentive awards, equity incentive awards, severance and change of control benefits, and other employee benefits. We have designed a compensation program that makes a substantial portion of executive pay variable, subject to increase when performance targets are exceeded, and subject to reduction when performance targets are not achieved.</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our executive compensation program strikes the appropriate balance between utilizing responsible, measured pay practices and providing incentives to our executives to create value for our stockholders. We believe this is evidenced by the following:</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compensation among base salary and cash incentives.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our compensation policies and practices are uniform across each of our business units and geographic regions.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bonus plan for executive officers provides for multiple payout levels based on targets established and approved by our Compensation and Nominating Committee during the first quarter of the applicable plan year.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that minimum threshold performance targets be achieved before any bonuses under our executive cash incentive plan are paid, and bonus payouts under our executive cash incentive plan are capped.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multiple performance measures under our executive cash incentive plan, including CV bookings and modified operating income.</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grant equity-based awards to executives under our equity incentive plan subject to multi-year or performance-based vesting criteria, and require that the executive remain employed through the vesting date or when performance criteria are measured to realize the value of these awards.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endorses the Company’s executive compensation program and recommends that stockholders vote in favor of the following resolution:</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RESOLVED, that the stockholders approve the compensation of the Company’s named executive officers as described in this proxy statement under “Executive Compensation”, including the Compensation Discussion and Analysis and the tabular and narrative disclosure contained in this proxy statement.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the vote is non-binding, neither the Board of Directors nor the Compensation and Nominating Committee of the Board will be required to take any action as a result of the outcome of the vote on this proposal. The Compensation and Nominating Committee will carefully consider the outcome of the vote when evaluating future executive compensation arrangements.</w:t>
      </w:r>
    </w:p>
    <w:p>
      <w:pPr>
        <w:spacing w:after="0" w:line="280"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OF THE COMPANY’S EXECUTIVE COMPENSATION.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Stockholder proposals to be considered at the Annual Meeting of Stockholders in 2027 must be received by December 1, 2026 to be considered for inclusion in our proxy materials for that meeting.</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Stockholders who wish to make a proposal at the 2027 annual meeting, other than proposals included in our proxy materials, or who wish to nominate individuals for election as directors, must notify us between January 12, 2027 and February 11, 2027 in a manner that satisfies the requirements specified in our by-laws. If the stockholder does not notify us by February 11, 2027 or the notice is not in accordance with the requirements specified in our by-laws, the proxies will have discretionary authority to vote on a stockholder’s proposal brought before the meeting. In addition, to comply with the universal proxy rules, stockholders who intend to solicit proxies in support of director nominees other than the Company’s nominees must also comply with the additional requirements of Rule 14a-19 under the Securities Exchange Act of 1934.</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has no knowledge of any other matter that may come before the annual meeting and does not, itself, currently intend to present any other such matter.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2025 filed with the Securities and Exchange Commission will be sent to stockholders without charge by writing to Forrester Research, Inc., Investor Relations, 60 Acorn Park Drive, Cambridge, Massachusetts 02140.</w:t>
      </w: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FORRESTER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 PURPOSE OF PLAN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purpose of this Forrester Research, Inc. Amended and Restated Employee Stock Purchase Plan (the “Plan”) is to provide employees of Forrester Research, Inc. ("Forrester") and its participating subsidiaries (as defined in Section 19) (such subsidiaries, together with Forrester, are hereinafter referred to as the "Company") who wish to become shareholders of Forrester an opportunity to purchase shares of the Common Stock of Forrester (the "Stock"). The Plan is an amendment and restatement of the Forrester Research, Inc. Third Amended and Restated Employee Stock Purchase Plan, effective March 22, 2022, which was an amendment and restatement of the Second Amended and Restated Employee Stock Purchase Plan, effective March 23, 2018, which was an amendment and restatement of the Amended and Restated Employee Stock Purchase Plan, effective March 27, 2009, as subsequently amended effective October 25, 2011, which was an amendment and restatement of the Forrester Research, Inc. 1996 Employee Stock Purchase Plan, as subsequently amended effective January 29, 2002. The Plan, subject to shareholder approval as described in Section 22, shall be effective on March 25, 2026, the date it was adopted by the Board of Directors of Forrester.</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Plan is intended to constitute an “employee stock purchase plan” within the meaning of Section 423(b) of the Internal Revenue Code of 1986, as amended (the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 STOCK SUBJECT TO THE PLAN</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maximum aggregate number of shares of Stock available under the Plan (subject to adjustment as provided in Section 10) for issuance pursuant to the exercise of options ("Options") granted under the Plan to employees of the Company ("Employees") who meet the eligibility requirements set forth in Section 3 hereof ("Eligible Employees") shall be (a) 450,000 shares, plus (b) 212,856 shares, which was the aggregate number of shares remaining issuable under the Plan as of March 25, 2026. The Stock to be delivered upon exercise of Options under the Plan may be either shares of authorized but unissued Stock or previously issued shares reacquired by Forrester and held in treasury, as Forrester's Board of Directors (the "Board of Directors") may determine.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3. ELIGIBLE EMPLOYEES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Except as otherwise provided below, each Employee who is employed by the Company on a regular basis (and not a temporary basis) for the Company for at least 20 hours per week shall be eligible to participate in the Plan (each, an “Eligible Employee”).</w:t>
      </w:r>
    </w:p>
    <w:p>
      <w:pPr>
        <w:spacing w:after="0" w:line="162" w:lineRule="exact"/>
        <w:rPr>
          <w:sz w:val="20"/>
          <w:szCs w:val="20"/>
          <w:color w:val="auto"/>
        </w:rPr>
      </w:pPr>
    </w:p>
    <w:p>
      <w:pPr>
        <w:jc w:val="both"/>
        <w:ind w:firstLine="517"/>
        <w:spacing w:after="0" w:line="256" w:lineRule="auto"/>
        <w:tabs>
          <w:tab w:leader="none" w:pos="12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who immediately after the grant of an Option to him or her would (in accordance with the provisions of Sections 423 and 424(d) of the Code) own stock possessing 5% or more of the total combined voting power or value of all classes of stock of the employer corporation or of its parent or subsidiary corporations, as the terms “parent corporation” and “subsidiary corporation” are defined in Section 424(e) and (f) of the Code, shall not be eligible to receive an Option to purchase Stock pursuant to the Plan. For purposes of determining stock ownership under this paragraph, the rules of Section 424(d) of the Code shall apply, and Stock which the Employee may purchase under outstanding Options shall be treated as stock owned by the Employee.</w:t>
      </w:r>
    </w:p>
    <w:p>
      <w:pPr>
        <w:spacing w:after="0" w:line="187" w:lineRule="exact"/>
        <w:rPr>
          <w:rFonts w:ascii="Times New Roman" w:cs="Times New Roman" w:eastAsia="Times New Roman" w:hAnsi="Times New Roman"/>
          <w:sz w:val="18"/>
          <w:szCs w:val="18"/>
          <w:color w:val="auto"/>
        </w:rPr>
      </w:pPr>
    </w:p>
    <w:p>
      <w:pPr>
        <w:jc w:val="both"/>
        <w:ind w:firstLine="517"/>
        <w:spacing w:after="0" w:line="261" w:lineRule="auto"/>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shall be granted an Option that permits the Employee's rights to purchase shares of Stock under the Plan and under all other Section 423(b) employee stock purchase plans of Forrester and any parent and subsidiary corporations to accrue at a rate that exceeds $25,000 of fair market value of such stock (determined at the time such Option is granted) for each calendar year in which any such Option granted to such Employee is outstanding at any time, as provided in Sections 423(b)(8)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4. METHOD OF PARTICIPATION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stock option periods for which Options may be granted hereunder shall consist of six-month periods commencing on each March 1 and September 1 (each, an “Option Period”). Each person who will be an Eligible Employee on the first day of any Option Period may elect to participate in the Plan by executing and delivering, at least 15 days prior to such day, a payroll deduction authorization in accordance with Section 5 and such procedures as may be prescribed by and in a form acceptable to the Board of Directors, acting by and through the Chief Financial Officer or any other authorized officer. Such Eligible Employee will thereby become a participant ("Participant") on the first day of such Option Period and will remain a Participant until the Employee's participation is terminated as provided in the Plan. Each Participant’s authorization on file under the Plan will continue to succeeding Option Periods as long as the Plan remains in effect, unless a Participant files a new authorization or withdraws from the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5. PAYROLL DEDUCTION</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An Eligible Employee may request payroll deductions in an amount (expressed as a whole percentage) of not less than two percent (2%) but not more than ten percent (10%) of the Participant's total Compensation by means of substantially equal payroll deductions over the Option Period. All amounts withheld in accordance with a Participant's payroll deduction authorization will be credited to a withholding account for such Participant and shall be deposited with the general funds of the Company. No interest will be payable on such withholding account. In no event shall more than $10,000 be withheld with respect to any Participant for any Option Period. For purposes of the Plan, "Compensation" shall mean (i) regular base wages or salary (including Company-paid short-term disability compensation, and any pre-tax salary reduction contributions made by the Participant to any Code Section 401(k) plan, Code Section 125 cafeteria or flexible spending plan, Code Section 129 dependent care plan, and Code Section 132(f) qualified transportation fringe benefit plan), and (ii) any overtime, paid time off, cash bonuses, and commissions paid to a Participant by the Company for the relevant period. There shall be excluded from Compensation (i) income arising from any profit-sharing, non-qualified deferred compensation, welfare benefit plan or other employee benefit plan (including payments and benefits relating to severance, relocation allowances, equalization payments, and expense reimbursement),</w:t>
      </w:r>
    </w:p>
    <w:p>
      <w:pPr>
        <w:spacing w:after="0" w:line="5" w:lineRule="exact"/>
        <w:rPr>
          <w:sz w:val="20"/>
          <w:szCs w:val="20"/>
          <w:color w:val="auto"/>
        </w:rPr>
      </w:pPr>
    </w:p>
    <w:p>
      <w:pPr>
        <w:ind w:firstLine="8"/>
        <w:spacing w:after="0" w:line="260" w:lineRule="auto"/>
        <w:tabs>
          <w:tab w:leader="none" w:pos="3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arising from any Company equity-based compensation plan, and (iii) any other compensation or remuneration determined not to be “Compensation” by the Board in accordance with Code Section 423.</w:t>
      </w:r>
    </w:p>
    <w:p>
      <w:pPr>
        <w:spacing w:after="0" w:line="1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Participant may reduce the withholding rate of his or her payroll deduction authorization by one or more whole percentage points (but not to below 2%) at any time during an Option Period (but not more than once per Option Period) by delivering written notice to the Company, such reduction to take effect prospectively as soon as practicable, as determined by the Board of Directors acting by and through the Chief Financial Officer or any other authorized officer, following receipt of such notice by the Company. A Participant may increase or reduce the withholding rate of his or her payroll deduction authorization for a future Option Period by written notice delivered to the Company at least 15 days prior to the first day of the Option Period as to which the change is to be effective.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Participant’s accumulated payroll deductions on the last day of the Option Period would otherwise enable the Participant to purchase shares of Stock in excess of the limitation described in Section 3(b), the excess of the amount of the accumulated payroll deductions over the aggregate purchase price of the shares actually purchased shall be promptly refunded to the Participant by the Company, without interest.</w:t>
      </w: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Participant may cancel participation and withdraw from the Plan in accordance with Section 12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6. GRANT OF OPTIONS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Each person who is a Participant on the first day of an Option Period will as of such day be granted an Option for such Option Period. Such Option will be for the number of whole shares (not in excess of the share maximum as hereinafter defined) of Stock to be determined by dividing (i) the balance in the Participant's withholding account on the last day of the Option Period, by (ii) the option price per share of the Stock determined under Section 7. For purposes of the preceding sentence, the share maximum with respect to any Option for any Option Period shall be the largest number of shares which, when multiplied by the fair market value of a share of Stock at the beginning of the Option Period, produces a dollar amount of $12,500 or less. The number of shares of Stock receivable by each Participant upon exercise of his or her Option for an Option Period will be reduced, on a substantially proportionate basis, in the event that the number of shares then available under the Plan is otherwise insufficient.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7. OPTION PRICE</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per share exercise price (the “Option Price”) for each such Option shall be the lesser of (i) 85% of the fair market value of the Stock on the date on which the Option was granted pursuant to Section 4 and (ii) 85% of the fair market value of the Stock on the date on which the Option is deemed exercised pursuant to Section 8. Fair market value on any given day shall mean the Closing Price of the Stock on such day or, if there was no Closing Price on such day, the latest day prior thereto on which there was a Closing Price. The "Closing Price" of the Stock on any business day shall be the last sale price as reported on the principal market on which the Stock is traded or, if no last sale is reported, then the fair market value as determined by the Board of Directors. A good faith determination by the Board of Directors as to fair market value shall be final and binding.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8. EXERCISE OF OPTIONS; ISSUANCE OF STOCK</w:t>
      </w:r>
    </w:p>
    <w:p>
      <w:pPr>
        <w:spacing w:after="0" w:line="22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Subject to the limitations in Section 18, each Eligible Employee who is a Participant in the Plan on the last day of an Option Period shall be deemed to have exercised his or her Option on such date and thereby to have purchased from Forrester such number of full shares of Stock reserved for the purpose of the Plan, as the Participant’s accumulated payroll deductions will purchase at the Option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Price, subject to the limitations described in Sections 3(b) and 6. Upon such exercise, the balance of the Participant's withholding account shall be applied to the purchase of the number of whole shares of Stock determined under Section 6 and as soon as practicable thereafter a book entry shall be made in the stock ledger of the Company to evidence the issuance of shares to the Participant. Shares of Stock purchased upon exercise of an Option shall be issued only in the name of the Participant. Notwithstanding the foregoing, the Board of Directors may permit or require that any purchased shares of Stock be deposited directly with a broker designated by the Board, and held by such broker for the pendency of the holding period described in Section 9.</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event that the balance of the Participant's withholding account following an Option Period is in excess of the total purchase price of the shares so issued, the balance of the withholding account shall be returned to the Participant; provided, however, that if the balance left in the withholding account consists solely of an amount equal to the value of a fractional share, it shall be retained in the withholding account and carried over to the next succeeding Option Period, but no other amounts may be carried forward. The entire balance of the Participant's withholding account following the final Option Period shall be returned to the Participant. No fractional shares will be issued hereunder.</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Forrester's obligation to issue and deliver shares of Stock under the Plan is subject to the approval required of any governmental authority in connection with the authorization, issuance, sale or transfer of said shares, to any requirements of any national securities exchange applicable thereto, and to compliance by the Company with other applicable legal requirements in effect from time to time, including without limitation any applicable tax withholding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9. HOLDING PERIOD</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shares of Stock issued under this Plan to a Participant pursuant to the exercise of an Option granted on or after March 1, 2012 may not be sold, assigned, pledged, encumbered, or otherwise transferred by such Participant for a period of one (1) year after the exercise date of the applicable Option. By purchasing Stock pursuant to the exercise of an Option, the Participant shall be deemed to have agreed to these restrictions on the transferability of shares of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10. CHANGE IN CAPITALIZATION, MERGER</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event of any change in the outstanding Stock of Forrester by reason of a stock dividend, split-up, recapitalization, merger, consolidation, reorganization, or other capital change after the effective date of this Plan, the aggregate number of shares available under the Plan, the number of shares under Options granted but not exercised, the maximum number of shares of Stock purchasable by any one Participant and the Option Price shall be appropriately adjusted; provided, however, that no such adjustment shall be made unless Forrester shall be satisfied that it will not constitute a modification of the Options granted under the Plan or otherwise disqualify the Plan as an employee stock purchase plan under the provisions of Section 423 of the Code.</w:t>
      </w:r>
    </w:p>
    <w:p>
      <w:pPr>
        <w:spacing w:after="0" w:line="39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event of a sale of all or substantially all of the Stock or a sale of all or substantially all of the assets of Forrester, or a merger or similar transaction in which Forrester is not the surviving corporation or which results in the acquisition of Forrester by another person, the Board in its sole discretion will (a) if Forrester is merged with or acquired by another corporation, provide that each Option will be assumed or a substitute Option granted by the acquiror or successor corporation or a parent or subsidiary of the acquiror or successor corporation, (b) cancel each Option and return the balances in Participants’ withholding accounts to the Participants, (c) pursuant to Section 17, accelerate the exercise date of each Option to a date on or before the date of the proposed sale or merger, or (d) permit each Option to continue unchanged.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11. EQUAL RIGHTS AND PRIVILEGES; NO TRANSFER OR ASSIGNMENT OF PARTICIPANT'S RIGHTS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Except as otherwise provided in Section 19, all Participants granted Options under the Plan within a single Option Period shall have the same rights and privileges, and each Participant’s rights and privileges under the Plan shall be exercisable during the Participant's lifetime only by the Participant, and shall not be sold, pledged, assigned, or transferred in any manner. In the event any Participant violates the terms of this Section, any Option held by such Participant may be terminated by the Company and upon return to the Participant of the balance of his or her withholding account, all his or her rights under the Plan shall terminate.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12. CANCELLATION AND WITHDRAWAL</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Participant who holds an Option under the Plan may at any time prior to exercise thereof under Section 8 cancel such Option as to all (but not less than all) the shares of Stock subject or to be subject to such Option by written notice delivered to the Company not less than two (2) business days prior to the end of the applicable Option Period, in which case the Company will promptly refund the entire balance of the Participant's withholding account not previously used to purchase Stock under the Plan, without interest.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Participant may terminate a payroll deduction authorization as of any date by written notice delivered to the Company and will thereby cease to be a Participant as of such date. Any Participant who voluntarily terminates a payroll deduction authorization prior to the last day of an Option Period will be deemed to have cancelled the related Option.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Participant who cancels an Option or terminates a payroll deduction authorization may at any time thereafter again become a Participant by completing a new authorization form prior to the beginning of any subsequent Option Period in accordance with Section 4 provided that such individual is then an Eligible Employee.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13. TERMINATION OF EMPLOYMENT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Subject to Section 14, whenever a Participant ceases to be an Eligible Employee because of retirement, voluntary or involuntary termination, resignation, layoff, discharge, death or for any other reason, his or her Option rights under the Plan shall immediately terminate and the Company shall promptly refund, without interest, the entire balance of his or her withholding account under the Plan. Such Participant shall have no further rights under the Plan.</w:t>
      </w:r>
    </w:p>
    <w:p>
      <w:pPr>
        <w:spacing w:after="0" w:line="39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eligible employment shall be treated as continuing intact while a Participant is on a military leave, sick leave or other bona fide leave of absence that lasts for up to 90 days, or for so long as the Participant’s right to re-employment is guaranteed either by statute or by contract, if longer than 90 days.</w:t>
      </w:r>
    </w:p>
    <w:p>
      <w:pPr>
        <w:spacing w:after="0" w:line="3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 Participant’s payroll deductions are interrupted by any legal process, a withdrawal notice will be considered as having been received from the Participant on the day the interruption occurs.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14. DEATH OF PARTICIPANT</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Participant may file a written designation of beneficiary specifying who is to receive any Stock and/or cash credited to the Participant under the Plan in the event of the Participant's death, which designation will also provide for the Participant's election to either (i) cancel the Participant's Option upon his or her death, as provided in Section 12 or (ii) apply as of the last day of the Option Period the balance of the deceased Participant's withholding account at the time of death to the exercise of the related Option, pursuant to Section 8. In the absence of a valid election otherwise, a Participant's death will be deemed to effect a cancellation of the Option. A designation of beneficiary and election may be changed by the Participant at any time, by written notice to the Company. In the event of the death of a Participant and receipt by the Company of proof of the identity and existence at the Participant's death of a beneficiary validly designated by him or her under the Plan, the Company shall deliver to such beneficiary such Stock and/or cash to which the beneficiary is entitled under the Plan. In the event of the death of a Participant and in the absence of a beneficiary validly designated under the Plan who is living at the time of such Participant's death, the Company shall deliver such Stock and/or cash to the executor or administrator of the estate of the Participant, if the Company is able to identify such executor or administrator. If the Company is unable to identify such administrator or executor, the Company, in its discretion, may deliver such stock and/or cash to the spouse or to any one or more dependents of such Participant as the Company may determine. No beneficiary shall, prior to the death of the Participant by whom he has been designated, acquire any interest in any Stock or cash credited to the Participant under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15. NO SPECIAL EMPLOYMENT RIGHTS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Plan does not, directly or indirectly, create in any Employee any right with respect to continuation of employment by the Company, and it shall not be construed to interfere in any way with the Company’s right to terminate, or otherwise modify, an Employee’s employment at any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16. ADMINISTRATION OF PLAN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Plan shall be administered by the Board of Directors, which shall have the right to determine any questions which may arise regarding the interpretation and application of the provisions of the Plan, to remedy any defect, omission or inconsistency in the Plan, and to make, administer, and interpret such rules and regulations in each case as it will deem necessary or advisable. The interpretation and construction by the Board of Directors of any provisions of the Plan or of any Option granted under it shall be final and binding. The Board of Directors may from time to time adopt such rules and regulations for carrying out the Plan as it may deem appropriate.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the extent permitted by applicable law, the Board may delegate any or all of its powers under the Plan to one or more committees or subcommittees of the Board (a “Committee”). All references in the Plan to the “Board” shall mean any Committee or the</w:t>
      </w: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Board, as applicable.</w:t>
      </w:r>
    </w:p>
    <w:p>
      <w:pPr>
        <w:spacing w:after="0" w:line="200" w:lineRule="exact"/>
        <w:rPr>
          <w:sz w:val="20"/>
          <w:szCs w:val="20"/>
          <w:color w:val="auto"/>
        </w:rPr>
      </w:pPr>
    </w:p>
    <w:p>
      <w:pPr>
        <w:spacing w:after="0" w:line="24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Board may specify the manner in which employees are to provide notices and payroll deduction authorizations. Notwithstanding any requirement of “written notice” herein, the Board may permit employees to provide notices and payroll deduction authorizations electronically.</w:t>
      </w:r>
    </w:p>
    <w:p>
      <w:pPr>
        <w:spacing w:after="0" w:line="3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No member of the Board of Directors shall be liable for any action or determination made in good faith with respect to the Plan or any Option granted under it. The Company shall indemnify and hold harmless the members of the Board, and each officer and employee of the Company acting at the Board's direction with respect to Plan matters, from and against any and all losses, claims, damages or liabilities, including attorney's fees and amounts paid with the approval of the Board in any settlement, arising out of or resulting from any act, omission, interpretation, or determination made with respect to the Plan, unless arising out of or resulting from such person's own fraud or bad faith. Such indemnification shall be in addition (but without duplication) to any rights to indemnification or insurance that such person may have as a director, officer or employee of the Company or under the by-laws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17. AMENDMENT AND TERMINATION OF PLAN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Forrester reserves the right at any time or times to amend the Plan to any extent and in any manner it may deem advisable by vote of the Board of Directors; provided, however, that any amendment that may (i) materially increase the aggregate number of shares which may be issued under the Plan (other than an adjustment provided for in Section 10), or (ii) change the corporations or class of corporations whose employees may be offered Options under the Plan, if such action would be treated as the adoption of a new plan for purposes of Section 423(b) of the Code, shall have no force or effect unless it is approved by the shareholders within twelve months before or after its adoption.</w:t>
      </w:r>
    </w:p>
    <w:p>
      <w:pPr>
        <w:spacing w:after="0" w:line="3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Plan and any Option Period may be terminated or suspended at any time by the Board of Directors. Upon termination of the Plan, the Board of Directors may either (i) provide that then-outstanding Options be administered in accordance with their terms, or (ii) accelerate the exercise date for then-outstanding Options by specifying that the Option Period in which such action occurs will end on a date earlier than its originally scheduled end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18. RESTRICTIONS ON THE EXERCISE OF OPTIONS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in its sole discretion, may require as a condition to the exercise of Options that the underlying shares be registered under the Securities Act of 1933, as amended, and that all other legal requirements necessary, or in the Board of Directors' opinion, desirable from the Company’s standpoint, to the exercise of the Options be satisfied or waived.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19. PARTICIPATING SUBSIDIARIES</w:t>
      </w:r>
    </w:p>
    <w:p>
      <w:pPr>
        <w:spacing w:after="0" w:line="229" w:lineRule="exact"/>
        <w:rPr>
          <w:sz w:val="20"/>
          <w:szCs w:val="20"/>
          <w:color w:val="auto"/>
        </w:rPr>
      </w:pPr>
    </w:p>
    <w:p>
      <w:pPr>
        <w:jc w:val="both"/>
        <w:ind w:firstLine="517"/>
        <w:spacing w:after="0" w:line="258" w:lineRule="auto"/>
        <w:tabs>
          <w:tab w:leader="none" w:pos="12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“participating subsidiary” shall mean any present or future subsidiary of Forrester, as that term is defined in Section 424(f) of the Code, which is designated from time to time by the Board of Directors to participate in the Plan. The Board of Directors shall have the power to make such designation before or after the Plan is approved by the shareholders. The Board of Directors may determine that Forrester and any participating subsidiaries shall be deemed to participate in separate offerings with different terms and conditions as permitted by Section 423 of the Code, provided that the terms of participation by any Eligible Employees within any such separate offering satisfy the equal rights and privileges requirements of Section 423 of the Code.</w:t>
      </w:r>
    </w:p>
    <w:p>
      <w:pPr>
        <w:spacing w:after="0" w:line="183" w:lineRule="exact"/>
        <w:rPr>
          <w:rFonts w:ascii="Times New Roman" w:cs="Times New Roman" w:eastAsia="Times New Roman" w:hAnsi="Times New Roman"/>
          <w:sz w:val="18"/>
          <w:szCs w:val="18"/>
          <w:color w:val="auto"/>
        </w:rPr>
      </w:pPr>
    </w:p>
    <w:p>
      <w:pPr>
        <w:jc w:val="both"/>
        <w:ind w:firstLine="517"/>
        <w:spacing w:after="0" w:line="253" w:lineRule="auto"/>
        <w:tabs>
          <w:tab w:leader="none" w:pos="8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comply with the laws of a non-U.S. jurisdiction, Options may be granted to Employees of Forrester or a Participating Subsidiary who are citizens or residents of such non-U.S. jurisdiction (without regard to whether they are also citizens of the United States or resident aliens (within the meaning of Section 7701(b)(1)(A) of the Code)) with terms that are less favorable (but no more favorable) than the terms of the Options granted under the Plan or an offering to Eligible Employees who are resident in the United States. Notwithstanding anything to the contrary in other provisions of the Plan or an offering, Employees who are citizens or residents of a non-U.S. jurisdiction (without regard to whether they are also citizens of the United States or resident aliens (within the meaning of Section 7701(b)(1)(A) of the Code)) may be excluded from eligibility under the Plan or an offering if (i) the grant of an Option under the Plan or an offering to a citizen or resident of the non-U.S. jurisdiction is prohibited under the laws of such jurisdiction, or (ii) compliance with the laws of the non-U.S. jurisdiction would cause the Plan or an offering to violate the requirements of Section 423 of the Code. Forrester may add one or more appendices to the Plan describing the operation of the Plan in those jurisdictions in which Eligible Employees are granted less favorable Options or in which Employees are excluded from participation.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jc w:val="both"/>
        <w:ind w:right="20" w:firstLine="517"/>
        <w:spacing w:after="0" w:line="266" w:lineRule="auto"/>
        <w:tabs>
          <w:tab w:leader="none" w:pos="122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from time to time establish one or more sub-plans under the Plan with respect to one or more Participating Subsidiaries, provided that such sub-plan complies with Section 423 of the Code. To the extent permitted by Section 423 of the Code, such sub-plans may provide for separate offerings with different terms for Participating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20. OPTIONEES NOT SHAREHOLDERS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 Employee shall not have any of the rights and privileges of a shareholder of Forrester and shall not receive any dividends in respect to any shares of Stock subject to an Option hereunder, unless and until such Option has been exercised, full payment has been made for such Stock, and the Stock has been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21. TAXES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Payroll deductions shall be made on an after-tax basis. The Company shall have the right, as a condition of exercise, to make such provision as it deems necessary to satisfy its obligations to withhold federal, state, local income or other taxes incurred by reason of the purchase or disposition of Stock under the Plan. In the Board of Directors' discretion and subject to applicable law, such tax obligations may be paid in whole or in part by delivery of Stock to the Company, including Stock purchased under the Plan, valued at fair market value (defined as the closing stock price on the date of delivery). The Company may, to the extent permitted by law, deduct any tax obligations from any payment of any kind due to the Participant or withhold Stock purchased hereunder, which shall be valued at fair market value (defined as the closing stock price on the date of withholding).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22. APPROVAL OF SHAREHOLDERS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Plan as hereby amended and restated is subject to the approval of the shareholders of Forrester, which must be secured within twelve months before or after the date the Plan as hereby amended and restated is adopted by the Board of Directors, and any Option granted hereunder prior to such approval is conditioned on such approval being obtained prior to the exercise thereof. The Plan was previously last approved by shareholders of Forrester on May 10,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23. INFORMATION REGARDING DISQUALIFYING DISPOSITIONS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By electing to participate in the Plan, each Participant agrees to provide any information about any transfer of Stock acquired under the Plan that occurs within two years after the first business day of the Option Period in which such Stock was acquired as may be requested by the Company or any subsidiary corporation in order to assist it in complying with the tax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24. GOVERNING LAW</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Plan shall be governed by the laws of the State of Delaware, without giving effect to the principles of conflicts of law thereof, and shall be construed accordingly.</w:t>
      </w: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85769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8576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85680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856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lowerRoman"/>
      <w:start w:val="1"/>
    </w:lvl>
  </w:abstractNum>
  <w:abstractNum w:abstractNumId="9">
    <w:nsid w:val="2443A858"/>
    <w:multiLevelType w:val="hybridMultilevel"/>
    <w:lvl w:ilvl="0">
      <w:lvlJc w:val="left"/>
      <w:lvlText w:val="*"/>
      <w:numFmt w:val="bullet"/>
      <w:start w:val="1"/>
    </w:lvl>
    <w:lvl w:ilvl="1">
      <w:lvlJc w:val="left"/>
      <w:lvlText w:val="(%2)"/>
      <w:numFmt w:val="decimal"/>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
      <w:numFmt w:val="bullet"/>
      <w:start w:val="1"/>
    </w:lvl>
    <w:lvl w:ilvl="1">
      <w:lvlJc w:val="left"/>
      <w:lvlText w:val="•"/>
      <w:numFmt w:val="bullet"/>
      <w:start w:val="1"/>
    </w:lvl>
  </w:abstractNum>
  <w:abstractNum w:abstractNumId="20">
    <w:nsid w:val="2CA88611"/>
    <w:multiLevelType w:val="hybridMultilevel"/>
    <w:lvl w:ilvl="0">
      <w:lvlJc w:val="left"/>
      <w:lvlText w:val="•"/>
      <w:numFmt w:val="bullet"/>
      <w:start w:val="1"/>
    </w:lvl>
    <w:lvl w:ilvl="1">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4"/>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1)"/>
      <w:numFmt w:val="lowerRoman"/>
      <w:start w:val="3"/>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Roman"/>
      <w:start w:val="2"/>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2026-03-31T10:46:27Z</dcterms:created>
  <dcterms:modified xsi:type="dcterms:W3CDTF">2026-03-31T10:46:27Z</dcterms:modified>
</cp:coreProperties>
</file>