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8" w:lineRule="exact"/>
        <w:rPr>
          <w:sz w:val="24"/>
          <w:szCs w:val="24"/>
          <w:color w:val="auto"/>
        </w:rPr>
      </w:pPr>
    </w:p>
    <w:p>
      <w:pPr>
        <w:ind w:left="500" w:right="160" w:hanging="492"/>
        <w:spacing w:after="0" w:line="262"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00" w:right="180" w:hanging="492"/>
        <w:spacing w:after="0" w:line="262" w:lineRule="auto"/>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000-21433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FORRESTER RESEARCH,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420" w:type="dxa"/>
        <w:tblCellMar>
          <w:top w:w="0" w:type="dxa"/>
          <w:left w:w="0" w:type="dxa"/>
          <w:bottom w:w="0" w:type="dxa"/>
          <w:right w:w="0" w:type="dxa"/>
        </w:tblCellMar>
      </w:tblPr>
      <w:tr>
        <w:trPr>
          <w:trHeight w:val="205"/>
        </w:trPr>
        <w:tc>
          <w:tcPr>
            <w:tcW w:w="3080" w:type="dxa"/>
            <w:vAlign w:val="bottom"/>
          </w:tcPr>
          <w:p>
            <w:pPr>
              <w:jc w:val="center"/>
              <w:ind w:right="179"/>
              <w:spacing w:after="0" w:line="205" w:lineRule="exact"/>
              <w:rPr>
                <w:sz w:val="20"/>
                <w:szCs w:val="20"/>
                <w:color w:val="auto"/>
              </w:rPr>
            </w:pPr>
            <w:r>
              <w:rPr>
                <w:rFonts w:ascii="Times New Roman" w:cs="Times New Roman" w:eastAsia="Times New Roman" w:hAnsi="Times New Roman"/>
                <w:sz w:val="18"/>
                <w:szCs w:val="18"/>
                <w:b w:val="1"/>
                <w:bCs w:val="1"/>
                <w:color w:val="auto"/>
                <w:w w:val="99"/>
              </w:rPr>
              <w:t>DELAWARE</w:t>
            </w:r>
          </w:p>
        </w:tc>
        <w:tc>
          <w:tcPr>
            <w:tcW w:w="224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tcPr>
          <w:p>
            <w:pPr>
              <w:jc w:val="right"/>
              <w:ind w:right="201"/>
              <w:spacing w:after="0" w:line="205" w:lineRule="exact"/>
              <w:rPr>
                <w:sz w:val="20"/>
                <w:szCs w:val="20"/>
                <w:color w:val="auto"/>
              </w:rPr>
            </w:pPr>
            <w:r>
              <w:rPr>
                <w:rFonts w:ascii="Times New Roman" w:cs="Times New Roman" w:eastAsia="Times New Roman" w:hAnsi="Times New Roman"/>
                <w:sz w:val="18"/>
                <w:szCs w:val="18"/>
                <w:b w:val="1"/>
                <w:bCs w:val="1"/>
                <w:color w:val="auto"/>
              </w:rPr>
              <w:t>04-2797789</w:t>
            </w:r>
          </w:p>
        </w:tc>
      </w:tr>
      <w:tr>
        <w:trPr>
          <w:trHeight w:val="149"/>
        </w:trPr>
        <w:tc>
          <w:tcPr>
            <w:tcW w:w="6120" w:type="dxa"/>
            <w:vAlign w:val="bottom"/>
            <w:gridSpan w:val="3"/>
          </w:tcPr>
          <w:p>
            <w:pPr>
              <w:jc w:val="center"/>
              <w:ind w:right="32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0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20" w:type="dxa"/>
            <w:vAlign w:val="bottom"/>
            <w:gridSpan w:val="3"/>
          </w:tcPr>
          <w:p>
            <w:pPr>
              <w:jc w:val="center"/>
              <w:ind w:right="32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0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5"/>
        </w:trPr>
        <w:tc>
          <w:tcPr>
            <w:tcW w:w="6120" w:type="dxa"/>
            <w:vAlign w:val="bottom"/>
            <w:gridSpan w:val="3"/>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60 Acorn Park Drive</w:t>
            </w:r>
          </w:p>
        </w:tc>
        <w:tc>
          <w:tcPr>
            <w:tcW w:w="170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02140</w:t>
            </w:r>
          </w:p>
        </w:tc>
      </w:tr>
      <w:tr>
        <w:trPr>
          <w:trHeight w:val="216"/>
        </w:trPr>
        <w:tc>
          <w:tcPr>
            <w:tcW w:w="6120" w:type="dxa"/>
            <w:vAlign w:val="bottom"/>
            <w:gridSpan w:val="3"/>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170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120" w:type="dxa"/>
            <w:vAlign w:val="bottom"/>
            <w:gridSpan w:val="3"/>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tcPr>
          <w:p>
            <w:pPr>
              <w:spacing w:after="0"/>
              <w:rPr>
                <w:sz w:val="16"/>
                <w:szCs w:val="16"/>
                <w:color w:val="auto"/>
              </w:rPr>
            </w:pPr>
          </w:p>
        </w:tc>
      </w:tr>
      <w:tr>
        <w:trPr>
          <w:trHeight w:val="296"/>
        </w:trPr>
        <w:tc>
          <w:tcPr>
            <w:tcW w:w="5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(617) 613-6000</w:t>
            </w: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0"/>
        </w:trPr>
        <w:tc>
          <w:tcPr>
            <w:tcW w:w="6120" w:type="dxa"/>
            <w:vAlign w:val="bottom"/>
            <w:gridSpan w:val="3"/>
          </w:tcPr>
          <w:p>
            <w:pPr>
              <w:jc w:val="center"/>
              <w:ind w:left="21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20" w:type="dxa"/>
            <w:vAlign w:val="bottom"/>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20" w:type="dxa"/>
            <w:vAlign w:val="bottom"/>
          </w:tcPr>
          <w:p>
            <w:pPr>
              <w:spacing w:after="0"/>
              <w:rPr>
                <w:sz w:val="13"/>
                <w:szCs w:val="13"/>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206"/>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$.01 Par Value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FORR</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80"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4"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6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4, 2026, 19,412,000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480" w:type="dxa"/>
            <w:vAlign w:val="bottom"/>
            <w:gridSpan w:val="2"/>
            <w:vMerge w:val="continue"/>
          </w:tcPr>
          <w:p>
            <w:pPr>
              <w:spacing w:after="0"/>
              <w:rPr>
                <w:sz w:val="16"/>
                <w:szCs w:val="16"/>
                <w:color w:val="auto"/>
              </w:rPr>
            </w:pPr>
          </w:p>
        </w:tc>
        <w:tc>
          <w:tcPr>
            <w:tcW w:w="9280" w:type="dxa"/>
            <w:vAlign w:val="bottom"/>
            <w:gridSpan w:val="14"/>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and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the three months ended March 31, 2026 and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432"/>
        </w:trPr>
        <w:tc>
          <w:tcPr>
            <w:tcW w:w="11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060" w:type="dxa"/>
            <w:vAlign w:val="bottom"/>
            <w:shd w:val="clear" w:color="auto" w:fill="CFF0FC"/>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73,903</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63,335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investments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64,321</w:t>
            </w:r>
          </w:p>
        </w:tc>
        <w:tc>
          <w:tcPr>
            <w:tcW w:w="100" w:type="dxa"/>
            <w:vAlign w:val="bottom"/>
          </w:tcPr>
          <w:p>
            <w:pPr>
              <w:spacing w:after="0"/>
              <w:rPr>
                <w:sz w:val="18"/>
                <w:szCs w:val="18"/>
                <w:color w:val="auto"/>
              </w:rPr>
            </w:pPr>
          </w:p>
        </w:tc>
      </w:tr>
      <w:tr>
        <w:trPr>
          <w:trHeight w:val="198"/>
        </w:trPr>
        <w:tc>
          <w:tcPr>
            <w:tcW w:w="70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expected credit losses of $408 and $360 as</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of March 31, 2026 and December 31, 2025, respectively</w:t>
            </w: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50,850</w:t>
            </w:r>
          </w:p>
        </w:tc>
        <w:tc>
          <w:tcPr>
            <w:tcW w:w="100" w:type="dxa"/>
            <w:vAlign w:val="bottom"/>
            <w:shd w:val="clear" w:color="auto" w:fill="CFF0FC"/>
          </w:tcPr>
          <w:p>
            <w:pPr>
              <w:spacing w:after="0"/>
              <w:rPr>
                <w:sz w:val="20"/>
                <w:szCs w:val="20"/>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commissions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212,685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409,069</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404,034</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60" w:type="dxa"/>
            <w:vAlign w:val="bottom"/>
            <w:shd w:val="clear" w:color="auto" w:fill="CFF0FC"/>
          </w:tcPr>
          <w:p>
            <w:pPr>
              <w:ind w:left="18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62,418</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141,812</w:t>
            </w:r>
          </w:p>
        </w:tc>
        <w:tc>
          <w:tcPr>
            <w:tcW w:w="100" w:type="dxa"/>
            <w:vAlign w:val="bottom"/>
          </w:tcPr>
          <w:p>
            <w:pPr>
              <w:spacing w:after="0"/>
              <w:rPr>
                <w:sz w:val="18"/>
                <w:szCs w:val="18"/>
                <w:color w:val="auto"/>
              </w:rPr>
            </w:pPr>
          </w:p>
        </w:tc>
      </w:tr>
      <w:tr>
        <w:trPr>
          <w:trHeight w:val="210"/>
        </w:trPr>
        <w:tc>
          <w:tcPr>
            <w:tcW w:w="7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240,062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tcPr>
          <w:p>
            <w:pPr>
              <w:spacing w:after="0"/>
              <w:rPr>
                <w:sz w:val="18"/>
                <w:szCs w:val="18"/>
                <w:color w:val="auto"/>
              </w:rPr>
            </w:pPr>
          </w:p>
        </w:tc>
      </w:tr>
      <w:tr>
        <w:trPr>
          <w:trHeight w:val="209"/>
        </w:trPr>
        <w:tc>
          <w:tcPr>
            <w:tcW w:w="7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303,015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Authorized - 500 shares; issued and outstanding - none</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Authorized - 125,000 shares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0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Issued - 25,697 and 25,535 shares as of March 31, 2026 and December 31, 2025,</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06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Outstanding - 19,176 and 19,013 shares as of March 31, 2026 and</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20"/>
                <w:szCs w:val="20"/>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304,404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- 6,522 shares as of March 31, 2026 and December 31, 2025</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(229,615)</w:t>
            </w: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(1,093)</w:t>
            </w:r>
          </w:p>
        </w:tc>
      </w:tr>
      <w:tr>
        <w:trPr>
          <w:trHeight w:val="209"/>
        </w:trPr>
        <w:tc>
          <w:tcPr>
            <w:tcW w:w="70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126,525</w:t>
            </w:r>
          </w:p>
        </w:tc>
        <w:tc>
          <w:tcPr>
            <w:tcW w:w="100" w:type="dxa"/>
            <w:vAlign w:val="bottom"/>
            <w:tcBorders>
              <w:top w:val="single" w:sz="8" w:color="CFF0FC"/>
            </w:tcBorders>
          </w:tcPr>
          <w:p>
            <w:pPr>
              <w:spacing w:after="0"/>
              <w:rPr>
                <w:sz w:val="18"/>
                <w:szCs w:val="18"/>
                <w:color w:val="auto"/>
              </w:rPr>
            </w:pPr>
          </w:p>
        </w:tc>
      </w:tr>
      <w:tr>
        <w:trPr>
          <w:trHeight w:val="230"/>
        </w:trPr>
        <w:tc>
          <w:tcPr>
            <w:tcW w:w="7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409,069</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404,034</w:t>
            </w:r>
          </w:p>
        </w:tc>
        <w:tc>
          <w:tcPr>
            <w:tcW w:w="100" w:type="dxa"/>
            <w:vAlign w:val="bottom"/>
            <w:shd w:val="clear" w:color="auto" w:fill="CFF0FC"/>
          </w:tcPr>
          <w:p>
            <w:pPr>
              <w:spacing w:after="0"/>
              <w:rPr>
                <w:sz w:val="19"/>
                <w:szCs w:val="19"/>
                <w:color w:val="auto"/>
              </w:rPr>
            </w:pP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-4773930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-4773930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-3942715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-2245360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-316230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2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w:t>
            </w:r>
          </w:p>
        </w:tc>
        <w:tc>
          <w:tcPr>
            <w:tcW w:w="28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68,414</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Consulting</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0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services and fulfillment</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35,706</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83,895</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9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104,084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177,467</w:t>
            </w:r>
          </w:p>
        </w:tc>
        <w:tc>
          <w:tcPr>
            <w:tcW w:w="100" w:type="dxa"/>
            <w:vAlign w:val="bottom"/>
          </w:tcPr>
          <w:p>
            <w:pPr>
              <w:spacing w:after="0"/>
              <w:rPr>
                <w:sz w:val="18"/>
                <w:szCs w:val="18"/>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(18,630)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(87,591)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investments, net</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Credit loss expense on note receivable</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(88,302)</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r>
      <w:tr>
        <w:trPr>
          <w:trHeight w:val="20"/>
        </w:trPr>
        <w:tc>
          <w:tcPr>
            <w:tcW w:w="584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(21,825)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(87,272)</w:t>
            </w:r>
          </w:p>
        </w:tc>
      </w:tr>
      <w:tr>
        <w:trPr>
          <w:trHeight w:val="20"/>
        </w:trPr>
        <w:tc>
          <w:tcPr>
            <w:tcW w:w="5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loss per common share</w:t>
            </w:r>
          </w:p>
        </w:tc>
        <w:tc>
          <w:tcPr>
            <w:tcW w:w="2860" w:type="dxa"/>
            <w:vAlign w:val="bottom"/>
            <w:gridSpan w:val="2"/>
            <w:shd w:val="clear" w:color="auto" w:fill="CFF0FC"/>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(4.62)</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2860" w:type="dxa"/>
            <w:vAlign w:val="bottom"/>
            <w:gridSpan w:val="2"/>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(4.62)</w:t>
            </w:r>
          </w:p>
        </w:tc>
      </w:tr>
      <w:tr>
        <w:trPr>
          <w:trHeight w:val="20"/>
        </w:trPr>
        <w:tc>
          <w:tcPr>
            <w:tcW w:w="5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9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19,071</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18,890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9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19,071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18,890</w:t>
            </w:r>
          </w:p>
        </w:tc>
        <w:tc>
          <w:tcPr>
            <w:tcW w:w="100" w:type="dxa"/>
            <w:vAlign w:val="bottom"/>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-3051175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-1945005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-1105535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-822325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-513715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12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(21,825)</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(87,272)</w:t>
            </w:r>
          </w:p>
        </w:tc>
      </w:tr>
      <w:tr>
        <w:trPr>
          <w:trHeight w:val="210"/>
        </w:trPr>
        <w:tc>
          <w:tcPr>
            <w:tcW w:w="5540" w:type="dxa"/>
            <w:vAlign w:val="bottom"/>
            <w:tcBorders>
              <w:top w:val="single" w:sz="8" w:color="CFF0FC"/>
            </w:tcBorders>
          </w:tcPr>
          <w:p>
            <w:pPr>
              <w:spacing w:after="0"/>
              <w:rPr>
                <w:sz w:val="18"/>
                <w:szCs w:val="18"/>
                <w:color w:val="auto"/>
              </w:rPr>
            </w:pPr>
          </w:p>
        </w:tc>
        <w:tc>
          <w:tcPr>
            <w:tcW w:w="214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change in market value of investments</w:t>
            </w:r>
          </w:p>
        </w:tc>
        <w:tc>
          <w:tcPr>
            <w:tcW w:w="2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FF0FC"/>
          </w:tcPr>
          <w:p>
            <w:pPr>
              <w:spacing w:after="0"/>
              <w:rPr>
                <w:sz w:val="18"/>
                <w:szCs w:val="18"/>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(23,305)</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(84,810)</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-873760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(21,825)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(87,272)</w:t>
            </w: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Depreciation</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Deferred income taxes</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(10,299)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Credit losses on note receivable</w:t>
            </w:r>
          </w:p>
        </w:tc>
        <w:tc>
          <w:tcPr>
            <w:tcW w:w="10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Goodwill impairment</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83,895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Reduction in the carrying amount of operating lease right-of-use assets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Other, net</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Accounts receivable</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12,389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commissions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(10,539)</w:t>
            </w:r>
          </w:p>
        </w:tc>
      </w:tr>
      <w:tr>
        <w:trPr>
          <w:trHeight w:val="203"/>
        </w:trPr>
        <w:tc>
          <w:tcPr>
            <w:tcW w:w="7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(544)</w:t>
            </w:r>
          </w:p>
        </w:tc>
      </w:tr>
      <w:tr>
        <w:trPr>
          <w:trHeight w:val="203"/>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(3,937)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(15,083)</w:t>
            </w:r>
          </w:p>
        </w:tc>
      </w:tr>
      <w:tr>
        <w:trPr>
          <w:trHeight w:val="203"/>
        </w:trPr>
        <w:tc>
          <w:tcPr>
            <w:tcW w:w="7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(3,161)</w:t>
            </w:r>
          </w:p>
        </w:tc>
      </w:tr>
      <w:tr>
        <w:trPr>
          <w:trHeight w:val="196"/>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25,578</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26,723</w:t>
            </w:r>
          </w:p>
        </w:tc>
        <w:tc>
          <w:tcPr>
            <w:tcW w:w="100" w:type="dxa"/>
            <w:vAlign w:val="bottom"/>
            <w:tcBorders>
              <w:top w:val="single" w:sz="8" w:color="CFF0FC"/>
            </w:tcBorders>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(6,198)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(648)</w:t>
            </w: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Purchases of marketable investments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(13,729)</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(13,741)</w:t>
            </w: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maturities of marketable investments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Proceeds from sales of marketable investments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investing activity</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(14,067)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(8,472)</w:t>
            </w:r>
          </w:p>
        </w:tc>
      </w:tr>
      <w:tr>
        <w:trPr>
          <w:trHeight w:val="196"/>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Proceeds from borrowings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on borrowings</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common stock under employee equity incentive plans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Taxes paid related to net share settlements of stock-based compensation awards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(429)</w:t>
            </w: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(1,128)</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shd w:val="clear" w:color="auto" w:fill="CFF0FC"/>
          </w:tcPr>
          <w:p>
            <w:pPr>
              <w:spacing w:after="0"/>
              <w:rPr>
                <w:sz w:val="17"/>
                <w:szCs w:val="17"/>
                <w:color w:val="auto"/>
              </w:rPr>
            </w:pPr>
          </w:p>
        </w:tc>
      </w:tr>
      <w:tr>
        <w:trPr>
          <w:trHeight w:val="196"/>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10,531</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19,572</w:t>
            </w:r>
          </w:p>
        </w:tc>
        <w:tc>
          <w:tcPr>
            <w:tcW w:w="100" w:type="dxa"/>
            <w:vAlign w:val="bottom"/>
            <w:tcBorders>
              <w:top w:val="single" w:sz="8" w:color="CFF0FC"/>
            </w:tcBorders>
          </w:tcPr>
          <w:p>
            <w:pPr>
              <w:spacing w:after="0"/>
              <w:rPr>
                <w:sz w:val="17"/>
                <w:szCs w:val="17"/>
                <w:color w:val="auto"/>
              </w:rPr>
            </w:pPr>
          </w:p>
        </w:tc>
      </w:tr>
      <w:tr>
        <w:trPr>
          <w:trHeight w:val="202"/>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65,586</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58,186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76,117</w:t>
            </w:r>
          </w:p>
        </w:tc>
        <w:tc>
          <w:tcPr>
            <w:tcW w:w="18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77,758</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8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00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1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Non-cash transactions: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Additions to property and equipment included in accounts payable and accrued expenses</w:t>
            </w:r>
          </w:p>
        </w:tc>
        <w:tc>
          <w:tcPr>
            <w:tcW w:w="100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6,469</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-3188335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-2133600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-1366520</wp:posOffset>
            </wp:positionV>
            <wp:extent cx="939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-1366520</wp:posOffset>
            </wp:positionV>
            <wp:extent cx="939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-814070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Interim Consolidated Financial Statements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generally accepted accounting principles in the United States of America (“GAAP”) for interim financial information and pursuant to the rules and regulations of the Securities and Exchange Commission (“SEC”) for reporting on Form 10-Q. Accordingly, certain information and footnote disclosures required for complete financial statements are not included herein. The year-end balance sheet data was derived from audited financial statements, but does not include all disclosures required by GAAP. It is recommended that these financial statements be read in conjunction with the consolidated financial statements and related notes that appear in the Forrester Research, Inc. (“Forrester”) Annual Report on Form 10-K for the year ended December 31, 2025. In the opinion of management, all adjustments (consisting of normal recurring adjustments) considered necessary for a fair statement of the financial position, results of operations, comprehensive loss, and cash flows as of the dates and for the periods presented have been included. The results of operations for the three months ended March 31, 2026 may not be indicative of the results for the year ending December 31, 2026, or any other period.</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Presentation of Restricted Cash</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shown in balance sheets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73,903</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75,592</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classified in other assets (1):</w:t>
            </w:r>
          </w:p>
        </w:tc>
        <w:tc>
          <w:tcPr>
            <w:tcW w:w="9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2,214</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w:t>
            </w:r>
          </w:p>
        </w:tc>
      </w:tr>
      <w:tr>
        <w:trPr>
          <w:trHeight w:val="20"/>
        </w:trPr>
        <w:tc>
          <w:tcPr>
            <w:tcW w:w="6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shown in statement of cash flows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76,117</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77,758</w:t>
            </w: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ind w:left="380" w:right="1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collateral required for leased office space. The short-term or long-term classification regarding the collateral for the leased office space is determined in accordance with the expiration of the underlying leases.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new standard requires disclosures about specific types of expenses included in the expense captions presented on the face of the income statement as well as disclosures about selling expenses. The new standard will be effective for the Company on January 1, 2027, with early adoption permitted. The Company anticipates adopting this standard on January 1, 2027, which will result in additional disclosures of expenses in the footnotes to its financial statements.</w:t>
      </w:r>
    </w:p>
    <w:p>
      <w:pPr>
        <w:spacing w:after="0" w:line="7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Recent accounting standards not included above are not expected to have a material impact on our consolidated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Divestiture</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completed the sale of a non-core product line, FeedbackNow, for approximately $17.6 million. The Company received $6.0 million in cash from the sale, along with a note receivable of $9.0 million, and a non-marketable equity investment in the acquirer valued at $2.6 million, which is accounted for under the cost method.</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repayment terms of the note were modified during the first quarter of 2025 resulting in $1.5 million plus all accrued interest being due in December 2025, and the remainder due in the second quarter of 2026. The Company measures the note receivable on an amortized cost basis and records the estimate of any expected credit losses on the note receivable as an allowance for credit losses. In conjunction with the modification of the repayment terms of the note, the Company updated its analysis of the current expected credit loss for the note. As a result, during the three months ended March 31, 2025, the Company recorded a $0.9 million allowance for credit losses. As a result of a change in the borrower's expected ability to make the scheduled payments on the note, during the three months ended September 30, 2025, the Company's assessment of default risk on the note increased. Accordingly, the Company updated its analysis of the current expected credit loss for the note. As a result, the Company recorded an additional $6.4 million allowance for credit losses during the three months ended September 30, 2025. As anticipated during the Company’s assessment of</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credit risk during the third quarter of 2025, the scheduled principal and interest payment due in December 2025 was not made by the borrower.</w:t>
      </w:r>
    </w:p>
    <w:p>
      <w:pPr>
        <w:spacing w:after="0" w:line="11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any amount of the note is determined by the Company to be uncollectible due to the borrower’s failure to meet repayment terms or due to the borrower's deteriorating financial condition, the write-off amount, reduced by any previously recorded allowances, would also be recorded as a credit loss expense. As of March 31, 2026, the balance of the note receivable, inclusive of capitalized interest at the stated rate of 8%, is $9.9 million. The carrying value of the note, net of the cumulative allowance for credit losses, is $2.6 million and is recorded within other assets in the Consolidated Balance Sheets. The allowance for credit losses is reported as a valuation account on the balance sheet that is deducted from the note receivable’s amortized cost basis and is included in credit loss expense on note receivable in the Consolidated Statement of Operations.</w:t>
      </w:r>
    </w:p>
    <w:p>
      <w:pPr>
        <w:spacing w:after="0" w:line="7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given that collection of interest on the loan is less than probable, interest income recognition was suspended during the third quarter of 2025. As such, interest income will only be recognized to the extent that cash is received. In the future, the accrual of interest income will be restored only when the borrower is contractually current or the collection of future payments is reasonably assured. As of March 31, 2026, the note receivable remains in nonaccrual status.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Marketable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investments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900" w:type="dxa"/>
            <w:vAlign w:val="bottom"/>
          </w:tcPr>
          <w:p>
            <w:pPr>
              <w:jc w:val="center"/>
              <w:ind w:left="1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90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51,526</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71,568</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900" w:type="dxa"/>
            <w:vAlign w:val="bottom"/>
          </w:tcPr>
          <w:p>
            <w:pPr>
              <w:jc w:val="center"/>
              <w:ind w:left="1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90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47,599</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64,240</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-1002030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-985520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-1002030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-985520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-1002030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-985520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Realized gains and losses on investments are included in earnings and are determined using the specific identification method. Sales of marketable investments during 2026 and 2025 primarily represent redemptions from non-U.S. based money market funds, and realized gains or losses on sales of marketable investments were immaterial during the three months ended March 31, 2026 and 2025.</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the maturity periods of the marketable investments in the Company’s portfolio as of March 31, 2026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FY 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FY 2027</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FY 2028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FY 2029</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51,526</w:t>
            </w:r>
          </w:p>
        </w:tc>
        <w:tc>
          <w:tcPr>
            <w:tcW w:w="100" w:type="dxa"/>
            <w:vAlign w:val="bottom"/>
          </w:tcPr>
          <w:p>
            <w:pPr>
              <w:spacing w:after="0"/>
              <w:rPr>
                <w:sz w:val="18"/>
                <w:szCs w:val="18"/>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56,581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71,569</w:t>
            </w:r>
          </w:p>
        </w:tc>
        <w:tc>
          <w:tcPr>
            <w:tcW w:w="100" w:type="dxa"/>
            <w:vAlign w:val="bottom"/>
            <w:shd w:val="clear" w:color="auto" w:fill="CFF0FC"/>
          </w:tcPr>
          <w:p>
            <w:pPr>
              <w:spacing w:after="0"/>
              <w:rPr>
                <w:sz w:val="19"/>
                <w:szCs w:val="19"/>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the gross unrealized losses and market value of the Company’s available-for-sale securities with unrealized losses that are not deemed to be other-than-temporary, aggregated by investment category and length of time that individual securities have been in a continuous unrealized loss position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542"/>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82"/>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162"/>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-1096645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-1096645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-1096645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4 — Goodwill and Other Intangible Assets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Goodwill represents the excess of the purchase price of acquired businesses over the estimated fair values of the tangible and identifiable intangible net assets acquired. Goodwill is not amortized; however, it is required to be tested for impairment annually, which requires assessment of the potential impairment at the reporting unit level. Reporting units are determined based on the components of the Company's operating segments that constitute a business for which discrete financial information is available and for which operating results are regularly reviewed by segment management. Testing for impairment is also required on an interim basis if an event or circumstance indicates it is more likely than not an impairment loss has been incurred.</w:t>
      </w:r>
    </w:p>
    <w:p>
      <w:pPr>
        <w:spacing w:after="0" w:line="6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substantial and sustained decline in the Company's stock price and its overall market capitalization from December 31, 2025 through March 31, 2026, it was determined that a triggering event occurred as of March 31, 2026, indicating goodwill may be impaired. Accordingly, the Company conducted a quantitative impairment test of its goodwill as of March 31, 2026 for its two reporting units (Research and Consulting) that have goodwill. As a result of the quantitative impairment test performed, the Company determined goodwill was impaired for its Research reporting unit and recorded a goodwill impairment charge of $10.8 million during the period ended March 31, 2026.</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estimated the implied fair value of its reporting units as of March 31, 2026 using an income approach. The income approach was based upon projected future cash flows that were discounted to present value. The key underlying assumptions included forecasted revenues, operating expenses, terminal rate, as well as an applicable discount rate for each reporting unit. Fair value estimates are based on a complex series of judgments about future events and rely heavily on estimates and assumptions that have been deemed reasonable by the Company. Changes in the estimates or assumptions used in the quantitative impairment test could materially affect the determination of fair value of the Company’s reporting units and the associated goodwill impairment assessment. Potential events and circumstances that could have an adverse impact on the Company's estimates and assumptions include, but are not limited to, lower than expected bookings growth, increases in costs, and other macroeconomic factors.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will complete its annual goodwill impairment test as of November 30, 2026. In addition, throughout the remainder of 2026, the Company will continue to monitor relevant facts and circumstances, including future changes in its stock price, to determine if another interim impairment test is required. The Company may be required to record additional goodwill impairment charges. While management cannot predict if or when additional goodwill impairments may occur, future goodwill impairments could have material adverse effects on the Company's results of operations and financial condition.</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$121.5 million of accumulated goodwill impairment losses. Goodwill of $8.3 million is allocated to the Company’s Consulting reporting unit, which had a negative carrying value as of March 31, 2026, the date of the last impairment test.</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the carrying amount of goodwill for the three months ended March 31, 2026 is summarized as follows (in thousands):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4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Research Segment</w:t>
            </w:r>
          </w:p>
        </w:tc>
        <w:tc>
          <w:tcPr>
            <w:tcW w:w="180" w:type="dxa"/>
            <w:vAlign w:val="bottom"/>
          </w:tcPr>
          <w:p>
            <w:pPr>
              <w:spacing w:after="0"/>
              <w:rPr>
                <w:sz w:val="13"/>
                <w:szCs w:val="13"/>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60" w:type="dxa"/>
            <w:vAlign w:val="bottom"/>
          </w:tcPr>
          <w:p>
            <w:pPr>
              <w:spacing w:after="0"/>
              <w:rPr>
                <w:sz w:val="13"/>
                <w:szCs w:val="13"/>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112,080</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3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(10,800)</w:t>
            </w: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9"/>
        </w:trPr>
        <w:tc>
          <w:tcPr>
            <w:tcW w:w="5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100,850</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the substantial and sustained decline in the Company's stock price and its overall market capitalization from mid-February 2025 through March 31, 2025, along with other qualitative considerations, including the continued impact from the conditions in the macroeconomic environment, uncertainty created by changes in the United States’ trade policies, and the larger than expected decline in contract bookings during the first quarter of 2025, it was determined that a triggering event occurred as of March 31, 2025, indicating goodwill may be impaired. Accordingly, the Company conducted a quantitative impairment test of its goodwill as of March 31, 2025 for its Research and Consulting reporting units. As a result of the quantitative impairment test performed, the Company determined goodwill was impaired for its Research reporting unit and recorded a goodwill impairment charge of $83.9 million during the period ended March 31, 2025.</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operating lease right-of-use assets, and finite-lived intangible assets, for impairment when an event occurs that may indicate potential impairment. In connection with the identified triggering event as of March 31, 2026, the Company performed, prior to the goodwill impairment test, a quantitative assessment of its long-lived assets by comparing undiscounted future cash flows to the net carrying value of the underlying assets, and concluded that its long-lived assets were not impaired. However, if future events occur or if business conditions deteriorate, the Company may be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right="60"/>
        <w:spacing w:after="0" w:line="282" w:lineRule="auto"/>
        <w:rPr>
          <w:sz w:val="20"/>
          <w:szCs w:val="20"/>
          <w:color w:val="auto"/>
        </w:rPr>
      </w:pPr>
      <w:r>
        <w:rPr>
          <w:rFonts w:ascii="Times New Roman" w:cs="Times New Roman" w:eastAsia="Times New Roman" w:hAnsi="Times New Roman"/>
          <w:sz w:val="18"/>
          <w:szCs w:val="18"/>
          <w:color w:val="auto"/>
        </w:rPr>
        <w:t>required to record an impairment loss, and or accelerate the amortization of finite-lived intangible assets in the future, which could be material to its results of operations and financial condition.</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values of finite-lived intangible assets are as follows (in thousands):</w:t>
      </w:r>
    </w:p>
    <w:p>
      <w:pPr>
        <w:spacing w:after="0" w:line="11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22"/>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7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0" w:type="dxa"/>
            <w:vAlign w:val="bottom"/>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3040" w:type="dxa"/>
            <w:vAlign w:val="bottom"/>
            <w:tcBorders>
              <w:top w:val="single" w:sz="8" w:color="CFF0FC"/>
            </w:tcBorders>
          </w:tcPr>
          <w:p>
            <w:pPr>
              <w:spacing w:after="0"/>
              <w:rPr>
                <w:sz w:val="24"/>
                <w:szCs w:val="24"/>
                <w:color w:val="auto"/>
              </w:rPr>
            </w:pPr>
          </w:p>
        </w:tc>
        <w:tc>
          <w:tcPr>
            <w:tcW w:w="178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22"/>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7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8620" w:type="dxa"/>
            <w:vAlign w:val="bottom"/>
            <w:gridSpan w:val="10"/>
          </w:tcPr>
          <w:p>
            <w:pPr>
              <w:jc w:val="right"/>
              <w:ind w:right="257"/>
              <w:spacing w:after="0"/>
              <w:rPr>
                <w:sz w:val="20"/>
                <w:szCs w:val="20"/>
                <w:color w:val="auto"/>
              </w:rPr>
            </w:pPr>
            <w:r>
              <w:rPr>
                <w:rFonts w:ascii="Times New Roman" w:cs="Times New Roman" w:eastAsia="Times New Roman" w:hAnsi="Times New Roman"/>
                <w:sz w:val="18"/>
                <w:szCs w:val="18"/>
                <w:color w:val="auto"/>
                <w:w w:val="99"/>
              </w:rPr>
              <w:t>Estimated intangible asset amortization expense for each of the three succeeding years is as follows (in thousands):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1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18"/>
                <w:szCs w:val="18"/>
                <w:color w:val="auto"/>
              </w:rPr>
            </w:pPr>
          </w:p>
        </w:tc>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1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-1927860</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-1910715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-1927860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-1910715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-1927860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-1910715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-950595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-933450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-950595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-933450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-950595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March 12, 2026, the Company executed a third amendment of its existing Credit Agreement in order to extend its maturity period and to reduce the size of the Revolving Credit Facility in order to decrease its ongoing costs. The key terms of the amendment include (a) an extension of the maturity date from December 2026 until March 12, 2029, (b) a reduction in the Revolving Credit Facility from $150.0 million to $50.0 million, (c) a reduction in the amount that the Company is permitted, subject to approval by the Administrative Agent, to increase commitments under the Revolving Credit Facility from $50.0 million to $15.0 million, and (d) the addition of a minimum liquidity covenant. As part of the amendment, the number of lenders on the facility was reduced from three to one, resulting in the simultaneous borrowing and repayment of $21.0 million of the facility at the closing.</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credit facility contains certain customary restrictive loan covenants, including among others, financial covenants that apply a maximum leverage ratio, minimum interest coverage ratio, minimum liquidity amount, and maximum annual capital expenditures. The negative covenants limit, subject to various exceptions, the Company’s ability to incur additional indebtedness, create liens on assets, merge, consolidate, liquidate or dissolve any part of the Company, sell assets, change fiscal year, or enter into certain transactions with affiliates and subsidiaries. The Company was in full compliance with the covenants as of March 31, 2026.</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may voluntarily prepay revolving loans under the credit facility at any time and from time to time, without premium or penalty. No interim amortization payments are required to be made under the credit facility.</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Up to $5.0 million of the credit facility is available for the issuance of letters of credit, and any drawings under the letters of credit must be reimbursed within one business day. As of March 31, 2026, $0.7 million in letters of credit were issued under the credit facility.</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Outstanding Borrowings</w:t>
      </w:r>
    </w:p>
    <w:p>
      <w:pPr>
        <w:spacing w:after="0" w:line="11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total outstanding borrowing as of both March 31, 2026 and December 31, 2025 was $35.0 million. The contractual annualized interest rate as of March 31, 2026 was 5.28%.</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$14.3 million of available borrowing capacity on the credit facility (not including the expansion feature) as of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annual effective interest rate for the three months ended March 31, 2026, was 5.09%.</w:t>
      </w:r>
    </w:p>
    <w:p>
      <w:pPr>
        <w:spacing w:after="0" w:line="9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facility are unconditionally guaranteed by each of the Company’s existing and future, direct and indirect, material wholly-owned domestic subsidiaries, other than certain excluded subsidiaries, and are collateralized by a first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ind w:right="360"/>
        <w:spacing w:after="0" w:line="282" w:lineRule="auto"/>
        <w:rPr>
          <w:sz w:val="20"/>
          <w:szCs w:val="20"/>
          <w:color w:val="auto"/>
        </w:rPr>
      </w:pPr>
      <w:r>
        <w:rPr>
          <w:rFonts w:ascii="Times New Roman" w:cs="Times New Roman" w:eastAsia="Times New Roman" w:hAnsi="Times New Roman"/>
          <w:sz w:val="18"/>
          <w:szCs w:val="18"/>
          <w:color w:val="auto"/>
        </w:rPr>
        <w:t>priority lien on substantially all tangible and intangible assets, including intellectual property, and all of the capital stock of the Company's subsidiaries (limited to 65% of the voting equity of certain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leases are operating leases, the majority of which are for office space. Operating lease right-of-use (“ROU”) assets and non-current operating lease liabilities are included as individual line items in the Consolidated Balance Sheets, while short-term operating lease liabilities are recorded within accrued expenses and other current liabilities. Leases with an initial term of twelve months or less are not recorded in the Consolidated Balance Sheets and are not material.</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leases do not contain residual value guarantees, material restrictions, or covenants.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 and Related Matters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disaggregates revenue as set forth in the following tables (in thousands):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Revenue by Geography</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(1)</w:t>
            </w:r>
          </w:p>
        </w:tc>
        <w:tc>
          <w:tcPr>
            <w:tcW w:w="22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41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7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65,250</w:t>
            </w:r>
          </w:p>
        </w:tc>
        <w:tc>
          <w:tcPr>
            <w:tcW w:w="8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4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85,454</w:t>
            </w:r>
          </w:p>
        </w:tc>
        <w:tc>
          <w:tcPr>
            <w:tcW w:w="4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Revenue location is determined based on where the products and services are consumed.</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includes amounts billed and currently due from customers. Since the only condition for payment of the Company’s invoices is the passage of time, a receivable is recorded on the date an invoice is issued. Also included in accounts receivable are unbilled amounts resulting from revenue exceeding the amount billed to the customer, where the right to payment is unconditional. If the right to payment for services performed was conditional on something other than the passage of time, the unbilled amount would be recorded as a separate contract asset. There were no contract assets as of March 31, 2026 or December 31, 2025.</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majority of the Company’s contracts are non-cancelable. However, for contracts that are cancelable by the customer, the Company does not record a receivable when it issues an invoice. The Company records accounts receivable on these contracts only up to the amount of revenue earned but not yet collected.</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addition, since the majority of the Company’s contracts are invoiced for annual periods, and payment is expected within one year from the transfer of products and services, the Company does not adjust its receivables or transaction prices for the effects of a significant financing component.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refers to contract liabilities as deferred revenue in the Consolidated Balance Sheets. Payment terms in the Company’s customer contracts vary, but generally require payment in advance of fully satisfying the performance obligation(s). Deferred revenue consists of billings in excess of revenue recognized. Similar to accounts receivable, the Company does not record deferred revenue for unpaid invoices issued on a cancelable contract.</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$56.6 million and $58.3 million of revenue, respectively, related to its deferred revenue balance at January 1 of each such period.</w:t>
      </w:r>
    </w:p>
    <w:p>
      <w:pPr>
        <w:spacing w:after="0" w:line="6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Approximately $320.6 million of revenue is expected to be recognized during the next 36 months from remaining performance obligations as of March 31, 2026.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i w:val="1"/>
          <w:iCs w:val="1"/>
          <w:color w:val="auto"/>
        </w:rPr>
        <w:t>Reserves for Credit Losses on Accounts Receivable</w:t>
      </w:r>
    </w:p>
    <w:p>
      <w:pPr>
        <w:spacing w:after="0" w:line="11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allowance for expected credit losses on accounts receivable for the three months ended March 31, 2026 is summarized as follows (in thousands):</w:t>
      </w:r>
    </w:p>
    <w:p>
      <w:pPr>
        <w:sectPr>
          <w:pgSz w:w="11900" w:h="16838" w:orient="portrait"/>
          <w:cols w:equalWidth="0" w:num="1">
            <w:col w:w="11200"/>
          </w:cols>
          <w:pgMar w:left="320" w:top="1199" w:right="379" w:bottom="1440" w:gutter="0" w:footer="0" w:header="0"/>
        </w:sectPr>
      </w:pPr>
    </w:p>
    <w:p>
      <w:pPr>
        <w:spacing w:after="0" w:line="3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13335</wp:posOffset>
            </wp:positionV>
            <wp:extent cx="570039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Write-offs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9601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ind w:left="1240" w:hanging="1240"/>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w:t>
      </w:r>
    </w:p>
    <w:p>
      <w:pPr>
        <w:spacing w:after="0" w:line="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w:t>
      </w:r>
    </w:p>
    <w:p>
      <w:pPr>
        <w:spacing w:after="0" w:line="9"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color w:val="auto"/>
        </w:rPr>
        <w:t>(30)</w:t>
      </w:r>
    </w:p>
    <w:p>
      <w:pPr>
        <w:spacing w:after="0" w:line="9" w:lineRule="exact"/>
        <w:rPr>
          <w:sz w:val="20"/>
          <w:szCs w:val="20"/>
          <w:color w:val="auto"/>
        </w:rPr>
      </w:pPr>
    </w:p>
    <w:p>
      <w:pPr>
        <w:ind w:left="1240" w:hanging="1240"/>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601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601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7800" w:space="720"/>
            <w:col w:w="2680"/>
          </w:cols>
          <w:pgMar w:left="320" w:top="1199" w:right="379" w:bottom="1440" w:gutter="0" w:footer="0" w:header="0"/>
          <w:type w:val="continuous"/>
        </w:sect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When evaluating the adequacy of the allowance for expected credit losses, the Company makes judgments regarding the collectability of accounts receivable based, in part, on the Company’s historical loss rate experience, customer concentrations, management’s expectations of future losses as informed by current economic conditions, and changes in customer payment terms. If the expected financial condition of the Company’s customers were to deteriorate, resulting in an impairment of their ability to make payments, additional allowances may be required. If the expected financial condition of the Company’s customers were to improve, the allowances may be reduced accordingly.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Contracts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commissions paid to sales representatives and related fringe benefits costs that are incremental to obtaining customer contracts. These costs are included in deferred commissions in the Consolidated Balance Sheets. The Company elected the practical expedient to account for these costs at a portfolio level as the Company’s contracts are similar in nature and the amortization model used closely matches the amortization expense that would be recognized on a contract-by-contract basis. Costs to obtain a contract are amortized to earnings over the initial contract term, which is the same period the related revenue is recognized.</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related to deferred commissions for the three months ended March 31, 2026 and 2025 was $7.4 million and $7.6 million, respectively, and is recorded in selling and marketing expenses in the Consolidated Statements of Operations. The Company evaluates the recoverability of deferred commissions at each balance sheet date and there were no impairments recorded during the three months ended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foreign currency forward exchange contracts to mitigate the effects of adverse fluctuations in foreign currency exchange rates on transactions entered into in the normal course of business that are denominated in foreign currencies that differ from the local functional currency. These contracts generally have short durations and are recorded at fair value with both realized and unrealized gains and losses recorded in other income, net in the Consolidated Statements of Operations because the Company does not designate these contracts as hedges for accounting purposes.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entered into three foreign currency forward exchange contracts, all of which settled by March 31, 2026. Accordingly, as of March 31, 2026, there is no amount recorded in the Consolidated Balance Sheets for these contracts. During the three months ended March 31, 2025, the Company entered into three foreign currency forward exchange contracts, all of which settled by March 31, 2025. Accordingly, as of March 31, 2025, there is no amount recorded in the Consolidated Balance Sheets for these contracts.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derivative counterparties are investment grade financial institutions. The Company does not have any collateral arrangements with these counterparties and the derivative contracts do not contain credit risk-related contingent features. The table below provides information regarding gains (losses) recognized in the Consolidated Statements of Operations for the derivative contracts for the periods indicated (in thousands):</w:t>
      </w:r>
    </w:p>
    <w:p>
      <w:pPr>
        <w:spacing w:after="0" w:line="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2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carrying amounts reflected in the Consolidated Balance Sheets for cash, certain cash equivalents, accounts receivable, accounts payable, and accrued expenses approximate fair value due to their short-term maturities. The Company’s financial instruments also include its outstanding variable-rate borrowings (refer to Note 5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believes that the carrying amount of its variable-rate borrowings reasonably approximate their fair values because the rates of interest on those borrowings reflect current market rates of interest.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type w:val="continuous"/>
        </w:sectPr>
      </w:pPr>
    </w:p>
    <w:bookmarkStart w:id="12" w:name="page13"/>
    <w:bookmarkEnd w:id="12"/>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the Company has certain financial assets recorded at fair value at each balance sheet date, including cash equivalents and marketable investments in accordance with the accounting standards for fair value measurements. The fair values of these financial assets have been classified as Level 1, 2, or 3 within the fair value hierarchy as described below:</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 Fair value based on quoted prices in active markets for identical assets or liabilities.</w:t>
      </w:r>
    </w:p>
    <w:p>
      <w:pPr>
        <w:spacing w:after="0" w:line="117"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Level 2 — Fair value based on inputs other than Level 1 inputs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left="760" w:right="300"/>
        <w:spacing w:after="0" w:line="282" w:lineRule="auto"/>
        <w:rPr>
          <w:sz w:val="20"/>
          <w:szCs w:val="20"/>
          <w:color w:val="auto"/>
        </w:rPr>
      </w:pPr>
      <w:r>
        <w:rPr>
          <w:rFonts w:ascii="Times New Roman" w:cs="Times New Roman" w:eastAsia="Times New Roman" w:hAnsi="Times New Roman"/>
          <w:sz w:val="18"/>
          <w:szCs w:val="18"/>
          <w:color w:val="auto"/>
        </w:rPr>
        <w:t>Level 3 — Fair value based on unobservable inputs that are supported by little or no market activity and such inputs are significant to the fair value of the assets or liabilities.</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fair value hierarchy for its financial assets that are measured at fair value on a recurring basis (in 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128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2"/>
                <w:szCs w:val="12"/>
                <w:color w:val="auto"/>
              </w:rPr>
            </w:pPr>
          </w:p>
        </w:tc>
        <w:tc>
          <w:tcPr>
            <w:tcW w:w="14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 (1)</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68,690</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68,690</w:t>
            </w: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investments (3)</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20,043</w:t>
            </w:r>
          </w:p>
        </w:tc>
        <w:tc>
          <w:tcPr>
            <w:tcW w:w="4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20,043</w:t>
            </w:r>
          </w:p>
        </w:tc>
      </w:tr>
      <w:tr>
        <w:trPr>
          <w:trHeight w:val="20"/>
        </w:trPr>
        <w:tc>
          <w:tcPr>
            <w:tcW w:w="37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68,690</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20,043</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88,733</w:t>
            </w:r>
          </w:p>
        </w:tc>
      </w:tr>
      <w:tr>
        <w:trPr>
          <w:trHeight w:val="20"/>
        </w:trPr>
        <w:tc>
          <w:tcPr>
            <w:tcW w:w="37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7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700" w:type="dxa"/>
            <w:vAlign w:val="bottom"/>
          </w:tcPr>
          <w:p>
            <w:pPr>
              <w:spacing w:after="0"/>
              <w:rPr>
                <w:sz w:val="12"/>
                <w:szCs w:val="12"/>
                <w:color w:val="auto"/>
              </w:rPr>
            </w:pPr>
          </w:p>
        </w:tc>
        <w:tc>
          <w:tcPr>
            <w:tcW w:w="128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2"/>
                <w:szCs w:val="12"/>
                <w:color w:val="auto"/>
              </w:rPr>
            </w:pPr>
          </w:p>
        </w:tc>
        <w:tc>
          <w:tcPr>
            <w:tcW w:w="14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 (2)</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64,743</w:t>
            </w: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investments (3)</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16,722</w:t>
            </w:r>
          </w:p>
        </w:tc>
        <w:tc>
          <w:tcPr>
            <w:tcW w:w="4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16,722</w:t>
            </w:r>
          </w:p>
        </w:tc>
      </w:tr>
      <w:tr>
        <w:trPr>
          <w:trHeight w:val="20"/>
        </w:trPr>
        <w:tc>
          <w:tcPr>
            <w:tcW w:w="37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16,722</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81,465</w:t>
            </w:r>
          </w:p>
        </w:tc>
      </w:tr>
      <w:tr>
        <w:trPr>
          <w:trHeight w:val="20"/>
        </w:trPr>
        <w:tc>
          <w:tcPr>
            <w:tcW w:w="37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-1096645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-1096645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-1096645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340" w:hanging="372"/>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based funds of $17.2 million are included in cash and cash equivalents and non-U.S. based funds of $51.5 million are included in marketable investments in the Consolidated Balance Sheets.</w:t>
      </w:r>
    </w:p>
    <w:p>
      <w:pPr>
        <w:ind w:left="380" w:right="32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based funds of $17.1 million are included in cash and cash equivalents and non-U.S. based funds of $47.6 million are included in marketable investments in the Consolidated Balance Sheets.</w:t>
      </w:r>
    </w:p>
    <w:p>
      <w:pPr>
        <w:ind w:left="380" w:right="200" w:hanging="372"/>
        <w:spacing w:after="0" w:line="253"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investments have been initially valued at the transaction price and subsequently valued, at the end of the reporting period, utilizing third party pricing services or other market observable data. The pricing services utilize industry standard valuation methods,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8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transfer assets between levels of the fair value hierarchy. Additionally, there have been no changes to the valuation techniques for Level 2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Non-Marketable Investments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At March 31, 2026 and December 31, 2025, the carrying value of the Company’s non-marketable investments, which were composed of an interest in a standalone real-time feedback company (see Note 2 - </w:t>
      </w:r>
      <w:r>
        <w:rPr>
          <w:rFonts w:ascii="Times New Roman" w:cs="Times New Roman" w:eastAsia="Times New Roman" w:hAnsi="Times New Roman"/>
          <w:sz w:val="18"/>
          <w:szCs w:val="18"/>
          <w:i w:val="1"/>
          <w:iCs w:val="1"/>
          <w:color w:val="auto"/>
        </w:rPr>
        <w:t>Divestiture</w:t>
      </w:r>
      <w:r>
        <w:rPr>
          <w:rFonts w:ascii="Times New Roman" w:cs="Times New Roman" w:eastAsia="Times New Roman" w:hAnsi="Times New Roman"/>
          <w:sz w:val="18"/>
          <w:szCs w:val="18"/>
          <w:color w:val="auto"/>
        </w:rPr>
        <w:t>) and of interests in technology-related private equity funds, was $3.2 million, respectively, of which $0.6 million is included in prepaid expenses and other current assets and $2.6 million is included in other assets in the Consolidated Balance Sheets.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One of the Company’s investments, with a carrying value of $2.6 million at March 31, 2026, is being accounted for using the cost method and, accordingly, is valued at cost less impairments, if any. The Company’s other investment is accounted for using the equity method. Accordingly, the Company records its share of the investee’s operating results each period, which are included in loss on investments, net in the Consolidated Statement of Operations. </w:t>
      </w:r>
      <w:r>
        <w:rPr>
          <w:rFonts w:ascii="Times New Roman" w:cs="Times New Roman" w:eastAsia="Times New Roman" w:hAnsi="Times New Roman"/>
          <w:sz w:val="18"/>
          <w:szCs w:val="18"/>
          <w:color w:val="212529"/>
        </w:rPr>
        <w:t>Gains and losses from non-marketable investments were immaterial during the three months ended March 31, 2026 and 2025.</w:t>
      </w:r>
    </w:p>
    <w:p>
      <w:pPr>
        <w:spacing w:after="0" w:line="72"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cumulative earnings approach to classify distributions received from equity method investments. During the three months ended March 31, 2026, no distributions were received from the funds. During the three months ended March 31, 2025, $1.4 million was distributed from the funds to the Company. This amount was included within other investing activity in the Consolidated Statements of Cash Flows as it was considered a return on investment.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Forrester provides for income taxes on an interim basis according to management’s estimate of the effective tax rate expected to be applicable for the full fiscal year. Certain items such as changes in tax rates, tax benefits or expense related to settlements of share-based awards, tax effects of foreign currency gains or losses, and goodwill impairments are treated as discrete items and are recorded in the period in which they arise.</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for the three months ended March 31, 2026 was $3.1 million resulting in an effective tax rate of (17)% for the period. Income tax benefit for the three months ended March 31, 2025 was $1.0 million resulting in an effective tax rate of 1.2% for the period.</w:t>
      </w:r>
    </w:p>
    <w:p>
      <w:pPr>
        <w:spacing w:after="0" w:line="54"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The decrease in the effective tax rate during the 2026 period was primarily due to (1) a significant decrease in the forecasted effective tax rate before discrete items in 2026, resulting in a negative tax rate in 2026, compared to a positive rate in 2025, primarily due to a reduction in forecasted pre-tax income exclusive of discrete items in 2026 and (2) a decrease in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loss in 2026 due to the goodwill impairment charge in 2025, which is not deductible for tax purposes.</w:t>
      </w:r>
    </w:p>
    <w:p>
      <w:pPr>
        <w:spacing w:after="0" w:line="9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July 4th, 2025, the One Big Beautiful Bill Act (“OBBBA”) was enacted, introducing changes to U.S. tax law. The effects of the OBBBA have been incorporated into the Company's estimated annual effective tax rate for the three months ended March 31, 2026 and the impact was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Accumulated Other Comprehensive Loss (“AOCL”)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(net of tax,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1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3"/>
                <w:szCs w:val="13"/>
                <w:color w:val="auto"/>
              </w:rPr>
            </w:pPr>
          </w:p>
        </w:tc>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2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(1)</w:t>
            </w:r>
          </w:p>
        </w:tc>
        <w:tc>
          <w:tcPr>
            <w:tcW w:w="11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loss, net of tax of $20</w:t>
            </w:r>
          </w:p>
        </w:tc>
        <w:tc>
          <w:tcPr>
            <w:tcW w:w="1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180" w:type="dxa"/>
            <w:vAlign w:val="bottom"/>
          </w:tcPr>
          <w:p>
            <w:pPr>
              <w:jc w:val="right"/>
              <w:ind w:right="102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860" w:type="dxa"/>
            <w:vAlign w:val="bottom"/>
          </w:tcPr>
          <w:p>
            <w:pPr>
              <w:spacing w:after="0"/>
              <w:rPr>
                <w:sz w:val="24"/>
                <w:szCs w:val="24"/>
                <w:color w:val="auto"/>
              </w:rPr>
            </w:pPr>
          </w:p>
        </w:tc>
        <w:tc>
          <w:tcPr>
            <w:tcW w:w="11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24"/>
                <w:szCs w:val="24"/>
                <w:color w:val="auto"/>
              </w:rPr>
            </w:pPr>
          </w:p>
        </w:tc>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2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(7,775)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(1)</w:t>
            </w:r>
          </w:p>
        </w:tc>
        <w:tc>
          <w:tcPr>
            <w:tcW w:w="11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net of tax of $(1)</w:t>
            </w:r>
          </w:p>
        </w:tc>
        <w:tc>
          <w:tcPr>
            <w:tcW w:w="11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80" w:type="dxa"/>
            <w:vAlign w:val="bottom"/>
          </w:tcPr>
          <w:p>
            <w:pPr>
              <w:jc w:val="right"/>
              <w:ind w:right="102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-1096645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-1096645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-1096645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760" w:right="80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record tax provisions or benefits for the net changes in foreign currency translation adjustments as it intends to permanently reinvest undistributed earnings of its foreign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Loss Per Common Share</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basic weighted average number of common shares outstanding during the period. Diluted net loss per common share is computed by dividing net loss by the diluted weighted average number of common shares and common equivalent shares outstanding during the period. The weighted average number of common equivalent shares outstanding has been determined in accordance with the treasury-stock method. Common equivalent shares consist of common stock issuable on the exercise of outstanding stock options and the vesting of restricted stock units.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weighted average common shares are as follows (in thousands):</w:t>
      </w:r>
    </w:p>
    <w:p>
      <w:pPr>
        <w:spacing w:after="0" w:line="11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equivalent shares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0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872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Options and restricted stock units excluded from diluted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share calculation as effect would have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72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been anti-dilutive</w:t>
            </w:r>
          </w:p>
        </w:tc>
        <w:tc>
          <w:tcPr>
            <w:tcW w:w="58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7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-1362075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-1344930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-1344930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14 — Stockholders’ Equity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stockholders’ equity are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1620" w:type="dxa"/>
            <w:vAlign w:val="bottom"/>
            <w:gridSpan w:val="4"/>
          </w:tcPr>
          <w:p>
            <w:pPr>
              <w:jc w:val="right"/>
              <w:ind w:right="302"/>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5"/>
          </w:tcPr>
          <w:p>
            <w:pPr>
              <w:jc w:val="right"/>
              <w:ind w:right="60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0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3"/>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30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0.01Par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30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25,535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304,404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52,574</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(229,615)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(1,093)</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126,525</w:t>
            </w:r>
          </w:p>
        </w:tc>
        <w:tc>
          <w:tcPr>
            <w:tcW w:w="100" w:type="dxa"/>
            <w:vAlign w:val="bottom"/>
            <w:shd w:val="clear" w:color="auto" w:fill="CFF0FC"/>
          </w:tcPr>
          <w:p>
            <w:pPr>
              <w:spacing w:after="0"/>
              <w:rPr>
                <w:sz w:val="17"/>
                <w:szCs w:val="17"/>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plans, including tax effects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r>
      <w:tr>
        <w:trPr>
          <w:trHeight w:val="205"/>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shd w:val="clear" w:color="auto" w:fill="CFF0FC"/>
          </w:tcPr>
          <w:p>
            <w:pPr>
              <w:spacing w:after="0"/>
              <w:rPr>
                <w:sz w:val="17"/>
                <w:szCs w:val="17"/>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(21,825)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(21,825)</w:t>
            </w:r>
          </w:p>
        </w:tc>
      </w:tr>
      <w:tr>
        <w:trPr>
          <w:trHeight w:val="18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marketable investments,</w:t>
            </w: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(1,420)</w:t>
            </w:r>
          </w:p>
        </w:tc>
      </w:tr>
      <w:tr>
        <w:trPr>
          <w:trHeight w:val="20"/>
        </w:trPr>
        <w:tc>
          <w:tcPr>
            <w:tcW w:w="3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307,236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(229,615)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(2,573)</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106,054</w:t>
            </w:r>
          </w:p>
        </w:tc>
        <w:tc>
          <w:tcPr>
            <w:tcW w:w="100" w:type="dxa"/>
            <w:vAlign w:val="bottom"/>
            <w:shd w:val="clear" w:color="auto" w:fill="CFF0FC"/>
          </w:tcPr>
          <w:p>
            <w:pPr>
              <w:spacing w:after="0"/>
              <w:rPr>
                <w:sz w:val="18"/>
                <w:szCs w:val="18"/>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080" w:type="dxa"/>
            <w:vAlign w:val="bottom"/>
          </w:tcPr>
          <w:p>
            <w:pPr>
              <w:spacing w:after="0"/>
              <w:rPr>
                <w:sz w:val="12"/>
                <w:szCs w:val="12"/>
                <w:color w:val="auto"/>
              </w:rPr>
            </w:pPr>
          </w:p>
        </w:tc>
        <w:tc>
          <w:tcPr>
            <w:tcW w:w="1620" w:type="dxa"/>
            <w:vAlign w:val="bottom"/>
            <w:gridSpan w:val="4"/>
          </w:tcPr>
          <w:p>
            <w:pPr>
              <w:jc w:val="right"/>
              <w:ind w:right="302"/>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5"/>
          </w:tcPr>
          <w:p>
            <w:pPr>
              <w:jc w:val="right"/>
              <w:ind w:right="60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0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3"/>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30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0.01Par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30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292,217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171,934</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(227,119)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(7,746)</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229,537</w:t>
            </w:r>
          </w:p>
        </w:tc>
        <w:tc>
          <w:tcPr>
            <w:tcW w:w="100" w:type="dxa"/>
            <w:vAlign w:val="bottom"/>
            <w:shd w:val="clear" w:color="auto" w:fill="CFF0FC"/>
          </w:tcPr>
          <w:p>
            <w:pPr>
              <w:spacing w:after="0"/>
              <w:rPr>
                <w:sz w:val="17"/>
                <w:szCs w:val="17"/>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plans, including tax effects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r>
      <w:tr>
        <w:trPr>
          <w:trHeight w:val="205"/>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shd w:val="clear" w:color="auto" w:fill="CFF0FC"/>
          </w:tcPr>
          <w:p>
            <w:pPr>
              <w:spacing w:after="0"/>
              <w:rPr>
                <w:sz w:val="17"/>
                <w:szCs w:val="17"/>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(87,272)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(87,272)</w:t>
            </w:r>
          </w:p>
        </w:tc>
      </w:tr>
      <w:tr>
        <w:trPr>
          <w:trHeight w:val="18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marketable investments,</w:t>
            </w: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8"/>
                <w:szCs w:val="18"/>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100" w:type="dxa"/>
            <w:vAlign w:val="bottom"/>
          </w:tcPr>
          <w:p>
            <w:pPr>
              <w:spacing w:after="0"/>
              <w:rPr>
                <w:sz w:val="17"/>
                <w:szCs w:val="17"/>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25,262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294,922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84,662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(227,119)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(5,284)</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147,434</w:t>
            </w:r>
          </w:p>
        </w:tc>
        <w:tc>
          <w:tcPr>
            <w:tcW w:w="100" w:type="dxa"/>
            <w:vAlign w:val="bottom"/>
            <w:shd w:val="clear" w:color="auto" w:fill="CFF0FC"/>
          </w:tcPr>
          <w:p>
            <w:pPr>
              <w:spacing w:after="0"/>
              <w:rPr>
                <w:sz w:val="18"/>
                <w:szCs w:val="18"/>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-1851025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-1833880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-1851025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-1833880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-1851025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-1833880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-1851025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-1833880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-1851025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-1833880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-1851025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-1833880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-1851025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-1833880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-8255</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for the three months ended March 31, 2026 is presented below (in thousands, except per share data):</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1,884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2026 is presented below (in thousands, except per share data and contractual term):</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33.55</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6.39</w:t>
            </w:r>
          </w:p>
        </w:tc>
        <w:tc>
          <w:tcPr>
            <w:tcW w:w="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15.92</w:t>
            </w:r>
          </w:p>
        </w:tc>
        <w:tc>
          <w:tcPr>
            <w:tcW w:w="1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8.32</w:t>
            </w:r>
          </w:p>
        </w:tc>
        <w:tc>
          <w:tcPr>
            <w:tcW w:w="3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-350520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-333375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-350520</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-333375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-350520</wp:posOffset>
            </wp:positionV>
            <wp:extent cx="59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-333375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stock options were granted or exercised during the three months ended March 31, 2026.</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Forrester recognizes the fair value of stock-based compensation over the requisite service period of the individual grantee, which generally equals the vesting period. Stock-based compensation was recorded in the following expense categories in the Consolidated Statements of Operations (in thousands):</w:t>
      </w:r>
    </w:p>
    <w:p>
      <w:pPr>
        <w:spacing w:after="0" w:line="61"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and fulfillment</w:t>
            </w:r>
          </w:p>
        </w:tc>
        <w:tc>
          <w:tcPr>
            <w:tcW w:w="92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Forrester utilizes the Black-Scholes valuation model for estimating the fair value of options granted under the equity incentive plans and shares subject to purchase under the employee stock purchase plan, which were valued using the following assumptions:</w:t>
      </w:r>
    </w:p>
    <w:p>
      <w:pPr>
        <w:spacing w:after="0" w:line="115"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3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380" w:type="dxa"/>
            <w:vAlign w:val="bottom"/>
          </w:tcPr>
          <w:p>
            <w:pPr>
              <w:spacing w:after="0"/>
              <w:rPr>
                <w:sz w:val="12"/>
                <w:szCs w:val="12"/>
                <w:color w:val="auto"/>
              </w:rPr>
            </w:pPr>
          </w:p>
        </w:tc>
        <w:tc>
          <w:tcPr>
            <w:tcW w:w="1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180" w:type="dxa"/>
            <w:vAlign w:val="bottom"/>
          </w:tcPr>
          <w:p>
            <w:pPr>
              <w:spacing w:after="0"/>
              <w:rPr>
                <w:sz w:val="12"/>
                <w:szCs w:val="12"/>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3.72%</w:t>
            </w:r>
          </w:p>
        </w:tc>
        <w:tc>
          <w:tcPr>
            <w:tcW w:w="4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0.5 Years</w:t>
            </w:r>
          </w:p>
        </w:tc>
        <w:tc>
          <w:tcPr>
            <w:tcW w:w="4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 Years</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218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FF0FC"/>
          </w:tcPr>
          <w:p>
            <w:pPr>
              <w:spacing w:after="0"/>
              <w:rPr>
                <w:sz w:val="18"/>
                <w:szCs w:val="18"/>
                <w:color w:val="auto"/>
              </w:rPr>
            </w:pPr>
          </w:p>
        </w:tc>
      </w:tr>
    </w:tbl>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Liability-Classified Awards</w:t>
      </w:r>
    </w:p>
    <w:p>
      <w:pPr>
        <w:spacing w:after="0" w:line="119"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During 2026, the Company granted stock awards that are being accounted for as liability awards, such that the fair value of the awards are determined on a quarterly basis beginning at the grant date until final vesting. Changes in the fair value of liability-classified awards are recorded in accrued expenses and other current liabilities. During the three months ended March 31, 2026, the Company recorded $0.2 million of stock-based compensation expense related to these awards.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Forrester’s Board of Directors had authorized an aggregate $610.0 million to purchase common stock under its stock repurchase program. The shares repurchased may be used, among other things, in connection with Forrester’s equity incentive and purchase plans. During both the three months ended March 31, 2026 and 2025, the Company did not repurchase any shares of common stock. From the inception of the program through March 31, 2026, the Company repurchased 18.2 million shares of common stock at an aggregate cost of $532.5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Restructuring and Related Costs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January 2025, the Company implemented a reduction in its workforce of approximately 6% across various geographies and functions to better align its cost structure with the revenue outlook for the year. The Company recorded $4.2 million of severance and related costs for this action during the fourth quarter of 2024 and $1.8 million during 2025. All costs have been paid as of March 31, 2026.</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2026, the Company implemented a reduction in its workforce of approximately 8% across various geographies and functions to better align its cost structure with the revenue outlook for the year. The Company recorded $8.8 million of severance and related costs for this action during the fourth quarter of 2025 and $1.2 million during the first quarter of 2026. In addition, the Company incurred approximately $1.1 million for contract termination costs during the fourth quarter of 2025 and $0.6 million during the first quarter of 2026. The Company also approved plans to close certain of its smaller offices both inside and outside the United States, resulting in a non-cash charge of $0.4 million for accelerated ROU asset amortization in the first quarter of 2026. The Company expects the majority of the accrued restructuring and related costs as of March 31, 2026 to be paid by the end of 2026.</w:t>
      </w: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3" w:right="459" w:bottom="1440" w:gutter="0" w:footer="0" w:header="0"/>
        </w:sectPr>
      </w:pPr>
    </w:p>
    <w:bookmarkStart w:id="16" w:name="page17"/>
    <w:bookmarkEnd w:id="16"/>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rolls forward the activity in the restructuring accrual for the February 2026 action for the three months ended March 31, 2026 (in thousands):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 at December 31, 2025</w:t>
            </w:r>
          </w:p>
        </w:tc>
        <w:tc>
          <w:tcPr>
            <w:tcW w:w="76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8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restructuring and related costs</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charge (included above)</w:t>
            </w:r>
          </w:p>
        </w:tc>
        <w:tc>
          <w:tcPr>
            <w:tcW w:w="7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7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(3,026)</w:t>
            </w: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effect</w:t>
            </w:r>
          </w:p>
        </w:tc>
        <w:tc>
          <w:tcPr>
            <w:tcW w:w="7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09"/>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Accrual at March 31, 2026</w:t>
            </w:r>
          </w:p>
        </w:tc>
        <w:tc>
          <w:tcPr>
            <w:tcW w:w="7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80" w:type="dxa"/>
            <w:vAlign w:val="bottom"/>
            <w:tcBorders>
              <w:top w:val="single" w:sz="8" w:color="CFF0FC"/>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Operating Segments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decision-maker is the chief executive officer and the chief financial officer. The Company operates in three segments: Research, Consulting, and Events. These segments, which are also the Company's reportable segments, are based on the management structure of the Company and how the chief operating decision maker uses financial information to evaluate performance and determine how to allocate resources. The Company’s products and services are delivered through each segment as described below.</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Research segment includes the revenues from all of the Company's research products as well as consulting revenues from advisory services (such as speeches and advisory days) delivered by the Company's research organization. Research segment costs include the cost of the organizations responsible for developing and delivering these products in addition to the costs of the product management organization responsible for product pricing and packaging, and the launch of new products.</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Consulting segment includes the revenues and the related costs of the Company's project consulting organization. The project consulting organization delivers a majority of the Company's project consulting revenue.</w:t>
      </w:r>
    </w:p>
    <w:p>
      <w:pPr>
        <w:spacing w:after="0" w:line="54"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Events segment includes the revenues and the costs of the organization responsible for developing and hosting the Company's events. As of January 1, 2025, the Company realigned its events sponsorship sales team and as such the costs of this team were not reported as a direct expense of the Events segment during the first and second quarters of 2025. During the third quarter of 2025, the events sponsorship sales team was aligned back to Events and the costs of this team are now being reported as a direct expense of the Events segment. The three months ended March 31, 2025 have been conformed to the current presentation.</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reportable segment performance and allocates resources based on segment operating income (loss). Segment expenses include the direct expenses of each segment organization and exclude selling and marketing expenses, general and administrative expenses, stock-based compensation expense, depreciation expense, adjustments to incentive bonus compensation from target amounts, amortization of intangible assets, goodwill impairment, restructuring costs, interest expense, credit loss expense on note receivable, other income, and losses on investments. The accounting policies used by the segments are the same as those used in the consolidated financial statements. The Company does not review or evaluate assets as part of segment performance. Accordingly, the Company does not identify or allocate assets by reportable segment.</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Company provides information by reportable segment in the tables below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Research Segment</w:t>
            </w:r>
          </w:p>
        </w:tc>
        <w:tc>
          <w:tcPr>
            <w:tcW w:w="16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80" w:type="dxa"/>
            <w:vAlign w:val="bottom"/>
          </w:tcPr>
          <w:p>
            <w:pPr>
              <w:spacing w:after="0"/>
              <w:rPr>
                <w:sz w:val="13"/>
                <w:szCs w:val="13"/>
                <w:color w:val="auto"/>
              </w:rPr>
            </w:pP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Segment expenses (1):</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Compensation, benefits and related costs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(23,179)</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(6,955)</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(31,469)</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(2,448)</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8"/>
                <w:szCs w:val="18"/>
                <w:color w:val="auto"/>
              </w:rPr>
            </w:pP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Billable expenses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segment expenses (2)</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(26,610)</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(9,021)</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(37,019)</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-1285240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-1285240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-1285240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Selling, marketing, administrative and other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expense and other income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18"/>
          <w:szCs w:val="18"/>
          <w:color w:val="auto"/>
        </w:rPr>
        <w:t>(52,038)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(2,081)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(10,800)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(2,146)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(91)</w:t>
      </w:r>
    </w:p>
    <w:p>
      <w:pPr>
        <w:spacing w:after="0" w:line="9" w:lineRule="exact"/>
        <w:rPr>
          <w:sz w:val="20"/>
          <w:szCs w:val="20"/>
          <w:color w:val="auto"/>
        </w:rPr>
      </w:pPr>
    </w:p>
    <w:p>
      <w:pPr>
        <w:ind w:left="620" w:hanging="616"/>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543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7543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9220" w:space="720"/>
            <w:col w:w="1300"/>
          </w:cols>
          <w:pgMar w:left="320" w:top="1093" w:right="339" w:bottom="1440" w:gutter="0" w:footer="0" w:header="0"/>
          <w:type w:val="continuous"/>
        </w:sectPr>
      </w:pPr>
    </w:p>
    <w:p>
      <w:pPr>
        <w:ind w:left="380" w:right="34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reportable segment includes office supplies, maintenance, and training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Research Segment</w:t>
            </w:r>
          </w:p>
        </w:tc>
        <w:tc>
          <w:tcPr>
            <w:tcW w:w="16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80" w:type="dxa"/>
            <w:vAlign w:val="bottom"/>
          </w:tcPr>
          <w:p>
            <w:pPr>
              <w:spacing w:after="0"/>
              <w:rPr>
                <w:sz w:val="13"/>
                <w:szCs w:val="13"/>
                <w:color w:val="auto"/>
              </w:rPr>
            </w:pPr>
          </w:p>
        </w:tc>
        <w:tc>
          <w:tcPr>
            <w:tcW w:w="14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 (1):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Compensation, benefits and related costs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(22,552)</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(6,907)</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(30,758)</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(2,691)</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Billable expenses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segment expenses (2)</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(26,136)</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(8,899)</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(36,373)</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Selling, marketing, administrative and other expenses</w:t>
            </w: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(53,475)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(83,895)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 costs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198"/>
        </w:trPr>
        <w:tc>
          <w:tcPr>
            <w:tcW w:w="5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Interest expense, credit loss expense, other income, and loss on</w:t>
            </w: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1"/>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(88,302)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-2270760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-2270760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-2270760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-1156335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-1156335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-1156335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380" w:right="340" w:hanging="372"/>
        <w:spacing w:after="0" w:line="26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reportable segment includes office supplies, maintenance, and training expenses.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17 — Contingencies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civil and regulatory claims that arise in the ordinary course of its business activities. Regardless of the outcome, legal proceedings and claims can have a material adverse effect on the Company because of defense and settlement costs, diversion of management resources, and other factors. It is the Company's policy to record accruals for legal contingencies to the extent that it has concluded that it is probable that a liability has been incurred and the amount of the loss can be reasonably estimated, and to expense costs associated with loss contingencies, including any related legal fees, as they are incurred. The Company reviews its loss contingencies at least quarterly and adjusts its accruals and/or disclosures to reflect the impact of negotiations, settlements, rulings, advice of legal counsel, or other new information, as deemed necessary. Once established, a provision may change in the future due to new developments or changes in circumstances and could increase or decrease the Company’s earnings in the period that the changes are made. The Company currently has no material pending litigation.</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9" w:name="page20"/>
    <w:bookmarkEnd w:id="19"/>
    <w:p>
      <w:pPr>
        <w:ind w:right="11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Overview</w:t>
      </w: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Words such as “expects,” “believes,” “anticipates,” “intends,” “plans,” “estimates,” or similar expressions are intended to identify these forward-looking statements. Reference is made in particular to our statements about changing stakeholder expectations, product development, possible acquisitions, future dividends, future share repurchases, future growth rates, operating income and cash from operations, future tax rates, future remittance of unremitted earnings, future deferred revenue, future compliance with financial covenants under our credit facility, future interest expense, anticipated increases in, and productivity of, our sales force and headcount, the adequacy of our cash, and cash flows to satisfy our working capital and capital expenditures, the anticipated impact of accounting standards, planned renovations of our Cambridge, Massachusetts office space and anticipated capital expenditures, any future impairment charges we may incur, and anticipated future declines in consulting revenue. These statements are based on our current plans and expectations and involve risks and uncertainties. Important factors that could cause actual future activities and results to differ include, among others, our ability to retain and enrich subscriptions to, and licenses of, our Research products and services, our ability to fulfill existing or generate new consulting engagements and advisory services, any adverse economic conditions, including from trade policies and tariffs, that result in a reduction in technology spending or demand for our products and services, our international operations expose us to a variety of operational risks which could negatively impact us, our ability to offer new products and services, the use of Generative AI in our business and by our clients and competitors, our dependence on key personnel, our ability to attract and retain qualified professional staff, our ability to respond to business and economic conditions and market trends, our business with the U.S. Government, the impact of our outstanding debt, competition and industry consolidation, possible variations in our quarterly operating results, the actual cost of capital expenditures that we undertake, concentration of our stock ownership, the possibility of network disruptions and security breaches, our ability to enforce and protect our intellectual property rights, compliance with privacy laws, taxation risks, any weakness identified in our system of internal controls, and any future impairment charge we incur. These risks are described more completely in our Annual Report on Form 10-K for the year ended December 31, 2025 and in this Quarterly Report on Form 10-Q. We undertake no obligation to update publicly any forward-looking statements, whether as a result of new information, future events, or otherwise.</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derive revenues from subscriptions to our Research products and services, subscriptions to, and individual licenses of, electronic “reprints” of our Research, performing consulting projects and advisory services, and hosting events. We offer contracts for our products as either multi-year contracts or annual contracts, which are typically payable in advance on an annual basis. For certain contracts, we offer to invoice the contract price in multiple invoices throughout the year. Billings in excess of revenue recognized are recorded as deferred revenue. Subscription products are recognized as revenue over the term of the contract. Individual reprint licenses include an obligation to deliver a customer-selected research document and certain usage data provided through our platform, which represents two performance obligations. We recognize revenue for the performance obligation for the data portion of the reprint ratably over the license term. We recognize revenue for the performance obligation for the research document at the time of providing access to the document. Clients purchase consulting projects and advisory services independently and/or to supplement their access to our subscription-based products. Consulting project revenues, which are based upon fixed-fee agreements, are recognized as the services are provided. Advisory service revenues, such as speeches and advisory days, are recognized when the service is complete. Events revenues consist of ticket and sponsorship sales for a Forrester-hosted event, and revenue is recognized upon completion of each event.</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primary operating expenses consist of cost of services and fulfillment, selling and marketing expenses, and general and administrative expenses. Cost of services and fulfillment represents the costs associated with the production and delivery of our products and services, including salaries, bonuses, employee benefits, and stock-based compensation expense for all personnel that produce and deliver our products and services, including all associated editorial, travel, and support services. Selling and marketing expenses include salaries, sales commissions, bonuses, employee benefits, stock-based compensation expense, travel expenses, promotional costs, and other costs incurred in marketing and selling our products and services. General and administrative expenses include the costs of the technology, operations, finance, and human resources groups and our other administrative functions, including salaries, bonuses, employee benefits, and stock-based compensation expense. Overhead costs such as facilities, net of sublease income, and annual fees for cloud-based information technology systems are allocated to these categories according to the number of employees in each group.</w:t>
      </w:r>
    </w:p>
    <w:p>
      <w:pPr>
        <w:spacing w:after="0" w:line="8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key metrics focus on our contract value ("CV") products. We are focusing on CV products as these products are our most profitable products and historically our contracts for CV products have renewed at high rates (as measured by our client retention and wallet retention metrics). Our CV products make up essentially all of our research revenues, and research revenues as a percentage of total revenues increased from approximately 76% for the three months ended March 31, 2025 to approximately 78% for the three months ended March 31,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0" w:name="page21"/>
    <w:bookmarkEnd w:id="2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calculate CV at the foreign currency rates used for internal planning purposes each year. For comparative purposes, we have recast historical CV and wallet retention at the planned 2026 foreign currency rates. We have included the recast metrics below for the three months ended March 31, 2025, and we have also provided recast metrics dating back to the first quarter of 2024, on the investor relations section of our website.</w:t>
      </w:r>
    </w:p>
    <w:p>
      <w:pPr>
        <w:spacing w:after="0" w:line="6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Contract value, client retention, wallet retention, and number of clients are metrics that we believe are important to understanding our research business. We define these metrics as follows:</w:t>
      </w:r>
    </w:p>
    <w:p>
      <w:pPr>
        <w:spacing w:after="0" w:line="52" w:lineRule="exact"/>
        <w:rPr>
          <w:sz w:val="20"/>
          <w:szCs w:val="20"/>
          <w:color w:val="auto"/>
        </w:rPr>
      </w:pPr>
    </w:p>
    <w:p>
      <w:pPr>
        <w:ind w:left="1020" w:right="14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 value (CV) </w:t>
      </w:r>
      <w:r>
        <w:rPr>
          <w:rFonts w:ascii="Times New Roman" w:cs="Times New Roman" w:eastAsia="Times New Roman" w:hAnsi="Times New Roman"/>
          <w:sz w:val="18"/>
          <w:szCs w:val="18"/>
          <w:color w:val="auto"/>
        </w:rPr>
        <w:t>— is defined as the value attributable to all of our recurring research-related contracts. Contract value is calculated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annualized value of all contracts in effect at a specific point in time, without regard to how much revenue has already been recognized. Contract value primarily consists of subscription-based products for which revenue is recognized on a ratable basis, except for the entitlements embedded in our subscription products, such as event tickets and advisory sessions, for which the revenue is recognized when the item is delivered. Contract value also includes our reprint products, as these products are used throughout the year by our clients and are typically renewed.</w:t>
      </w:r>
    </w:p>
    <w:p>
      <w:pPr>
        <w:spacing w:after="0" w:line="74"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Client retention </w:t>
      </w:r>
      <w:r>
        <w:rPr>
          <w:rFonts w:ascii="Times New Roman" w:cs="Times New Roman" w:eastAsia="Times New Roman" w:hAnsi="Times New Roman"/>
          <w:sz w:val="18"/>
          <w:szCs w:val="18"/>
          <w:color w:val="auto"/>
        </w:rPr>
        <w:t>— represents the percentage of client companies (defined as all clients that buy a CV product) at the prior year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that have active contracts at the current year measurement date.</w:t>
      </w:r>
    </w:p>
    <w:p>
      <w:pPr>
        <w:spacing w:after="0" w:line="50" w:lineRule="exact"/>
        <w:rPr>
          <w:rFonts w:ascii="Times New Roman" w:cs="Times New Roman" w:eastAsia="Times New Roman" w:hAnsi="Times New Roman"/>
          <w:sz w:val="18"/>
          <w:szCs w:val="18"/>
          <w:color w:val="auto"/>
        </w:rPr>
      </w:pPr>
    </w:p>
    <w:p>
      <w:pPr>
        <w:ind w:left="1020" w:right="340" w:hanging="503"/>
        <w:spacing w:after="0" w:line="26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Wallet retention — </w:t>
      </w:r>
      <w:r>
        <w:rPr>
          <w:rFonts w:ascii="Times New Roman" w:cs="Times New Roman" w:eastAsia="Times New Roman" w:hAnsi="Times New Roman"/>
          <w:sz w:val="18"/>
          <w:szCs w:val="18"/>
          <w:color w:val="auto"/>
        </w:rPr>
        <w:t>represents a measure of the CV we have retained with clients over a twelve-month period, including increases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retained client CV during the period. Wallet retention is calculated on a percentage basis by dividing the annualized contract value of our current clients, who were also clients a year ago, by the total annualized contract value from a year ago.</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Clients </w:t>
      </w:r>
      <w:r>
        <w:rPr>
          <w:rFonts w:ascii="Times New Roman" w:cs="Times New Roman" w:eastAsia="Times New Roman" w:hAnsi="Times New Roman"/>
          <w:sz w:val="18"/>
          <w:szCs w:val="18"/>
          <w:color w:val="auto"/>
        </w:rPr>
        <w:t>— is calculated at the enterprise level as all clients that have an active CV contract.</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Client retention and wallet retention are not necessarily indicative of the rate of future retention of our revenue base. A summary of our key metrics is as follows (dollars in millions):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4"/>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2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2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r>
      <w:tr>
        <w:trPr>
          <w:trHeight w:val="21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value</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Client retention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 points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Wallet retention</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points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Number of clients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bl>
    <w:p>
      <w:pPr>
        <w:spacing w:after="0" w:line="7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Contract value at March 31, 2026 decreased by 3% compared to the prior year period due to wallet retention being at 89% for the period (representing retention and enrichment of the prior year CV base) and new client acquisition not fully offsetting the net retention loss. Client retention increased by 5 percentage points at March 31, 2026 compared to the prior year period, and increased by 1 percentage point compared to the prior quarter. We attribute the increase in client retention to our ongoing retention initiatives and to the launch of our AI Access product in the third quarter of 2025. Wallet retention increased by 3 percentage points at March 31, 2026 compared to the prior year period, and increased by 2 percentage points compared to the prior quarter. The increase in wallet retention compared to the prior year period was primarily due to improved client retention.</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generally accepted accounting principles in the United States of America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but not limited to, those related to our revenue recognition, credit losses on the note receivable, and goodwill. Management bases its estimates on historical experience, data available at the time the estimates are made, and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Our critical accounting estimates are described in our Annual Report on Form 10-K for the year ended December 31, 2025.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statement of operations as a percentage of total revenues for the periods indicated:</w:t>
      </w:r>
    </w:p>
    <w:p>
      <w:pPr>
        <w:spacing w:after="0" w:line="111"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revenues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Consulting revenues</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revenues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services and fulfillment</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investments, net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Credit loss expense on note receivable</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3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vMerge w:val="continue"/>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-3782695</wp:posOffset>
            </wp:positionV>
            <wp:extent cx="1460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-3782695</wp:posOffset>
            </wp:positionV>
            <wp:extent cx="1460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-2677160</wp:posOffset>
            </wp:positionV>
            <wp:extent cx="1460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-2677160</wp:posOffset>
            </wp:positionV>
            <wp:extent cx="1460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-1553845</wp:posOffset>
            </wp:positionV>
            <wp:extent cx="1460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-1536700</wp:posOffset>
            </wp:positionV>
            <wp:extent cx="1460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-1553845</wp:posOffset>
            </wp:positionV>
            <wp:extent cx="1460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-1536700</wp:posOffset>
            </wp:positionV>
            <wp:extent cx="1460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revenues are recognized as revenue primarily on a ratable basis over the term of the contracts, which are generally 12 or 24-month periods. Research revenues decreased 2% during the three months ended March 31, 2026 compared to the prior year period, primarily due to the decrease in CV, as discussed above. From a product perspective, the decrease in revenues during the three months ended March 31, 2026 was primarily due to a decline in revenue from subscriptions to our research, partially offset by an increase in reprint revenue.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Consulting revenues decreased 13% during the three months ended March 31, 2026 compared to the prior year period. The decrease in revenues was due to a decrease in delivery of consulting services due to lower client bookings. In February 2026, we announced that we would discontinue selling strategy consulting engagements and would fulfill our backlog of strategy consulting engagements during 2026. Our ongoing consulting business will consist of content marketing consulting and advisory. We anticipate that, on a year over year basis, our 2026 consulting revenues will decline in the low 20 percent range due primarily to the cessation of strategy consulting in 2026.</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Events revenues were insignificant during the three months ended March 31, 2026 and 2025 as no events were held during either period.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the “Segments Results” section below for a discussion of revenues and expenses by segment.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and Fulfillment</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2"/>
                <w:szCs w:val="12"/>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and fulfillment (dollars in millions)</w:t>
            </w:r>
          </w:p>
        </w:tc>
        <w:tc>
          <w:tcPr>
            <w:tcW w:w="116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38.6</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services and fulfillment as a percentage of</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point</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4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Service and fulfillment employees</w:t>
            </w: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34"/>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end of period)</w:t>
            </w: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611</w:t>
            </w:r>
          </w:p>
        </w:tc>
        <w:tc>
          <w:tcPr>
            <w:tcW w:w="7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bl>
    <w:p>
      <w:pPr>
        <w:spacing w:after="0" w:line="9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Cost of services and fulfillment expenses decreased 2% during the three months ended March 31, 2026 compared to the prior year period. The decrease was primarily due to a $1.1 million decrease in facilities costs primarily due to a decrease in lease expense.</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80" w:type="dxa"/>
            <w:vAlign w:val="bottom"/>
            <w:gridSpan w:val="5"/>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expenses (dollars in millions)</w:t>
            </w:r>
          </w:p>
        </w:tc>
        <w:tc>
          <w:tcPr>
            <w:tcW w:w="112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and marketing expenses as a percentage of</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point</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employees (at end of period)</w:t>
            </w: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bl>
    <w:p>
      <w:pPr>
        <w:spacing w:after="0" w:line="9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Selling and marketing expenses decreased 3% during the three months ended March 31, 2026 compared to the prior year period. The decrease was primarily due to a $0.9 million decrease in facilities costs primarily due to a decrease in lease expense.</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80" w:type="dxa"/>
            <w:vAlign w:val="bottom"/>
            <w:gridSpan w:val="5"/>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91"/>
        </w:trPr>
        <w:tc>
          <w:tcPr>
            <w:tcW w:w="4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General and administrative expenses (dollars in</w:t>
            </w:r>
          </w:p>
        </w:tc>
        <w:tc>
          <w:tcPr>
            <w:tcW w:w="36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234"/>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millions)</w:t>
            </w:r>
          </w:p>
        </w:tc>
        <w:tc>
          <w:tcPr>
            <w:tcW w:w="11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as a percentage</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total revenues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points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4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employees (at end of</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4"/>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9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10% during the three months ended March 31, 2026 compared to the prior year period. The increase was primarily due to a $1.4 million increase in professional services.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fluctuation for depreciation expense was immaterial during the three months ended March 31, 2026 compared to the prior year period.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fluctuation for amortization expense was immaterial during the three months ended March 31, 2026 compared to the prior year period.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substantial and sustained decline in our stock price and our overall market capitalization from December 31, 2025 through March 31, 2026, it was determined that a triggering event occurred as of March 31, 2026, indicating goodwill may be impaired. Accordingly, we conducted a quantitative impairment test of our goodwill as of March 31, 2026 for our two reporting units (Research and Consulting) that have goodwill. As a result of the quantitative impairment test performed, we determined goodwill was impaired for our Research reporting unit and recorded a goodwill impairment charge of $10.8 million during the period ended March 31, 2026, which is not deductible for tax purposes.</w:t>
      </w:r>
    </w:p>
    <w:p>
      <w:pPr>
        <w:spacing w:after="0" w:line="7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substantial and sustained decline in our stock price and our overall market capitalization from mid-February 2025 through March 31, 2025, along with other qualitative considerations, including the continued impact from the conditions in the macroeconomic environment, uncertainty created by changes in the United States’ trade policies, and the larger than expected decline</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23" w:name="page24"/>
    <w:bookmarkEnd w:id="23"/>
    <w:p>
      <w:pPr>
        <w:ind w:right="60"/>
        <w:spacing w:after="0" w:line="261" w:lineRule="auto"/>
        <w:rPr>
          <w:sz w:val="20"/>
          <w:szCs w:val="20"/>
          <w:color w:val="auto"/>
        </w:rPr>
      </w:pPr>
      <w:r>
        <w:rPr>
          <w:rFonts w:ascii="Times New Roman" w:cs="Times New Roman" w:eastAsia="Times New Roman" w:hAnsi="Times New Roman"/>
          <w:sz w:val="18"/>
          <w:szCs w:val="18"/>
          <w:color w:val="auto"/>
        </w:rPr>
        <w:t>in contract bookings during the first quarter of 2025, it was determined that a triggering event occurred as of March 31, 2025, indicating goodwill may be impaired. Accordingly, we conducted a quantitative impairment test of our goodwill as of March 31, 2025 for our Research and Consulting reporting units. As a result of the quantitative impairment test, we determined goodwill was impaired for our Research reporting unit and recorded a goodwill impairment charge of $83.9 million during the period ended March 31, 2025, which is not deductible for tax purposes.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Related Costs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implemented a reduction in our workforce of approximately 6% across various geographies and functions to better align our cost structure with the revenue outlook for the year. We recorded $4.2 million of severance and related costs for this action during the fourth quarter of 2024, $1.5 million during the first quarter of 2025, $0.4 million during the second quarter of 2025, and $(0.1) million during the third quarter of 2025.</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February 2026, we implemented a reduction in our workforce of approximately 8% across various geographies and functions to better align our cost structure with the revenue outlook for the year. We recorded $8.8 million of severance and related costs for this action during the fourth quarter of 2025 and $1.2 million during the first quarter of 2026. In addition, we incurred approximately $1.1 million for contract termination costs during the fourth quarter of 2025 and $0.6 million during the first quarter of 2026. We also approved plans to close certain of our smaller offices both inside and outside the United States, resulting in a non-cash charge of $0.4 million for accelerated ROU asset amortization in the first quarter of 2026.</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on our borrowings. The fluctuation in interest expense was immaterial during the three months ended March 31, 2026 compared to the prior year period.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Loss on Investments,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 on investments, net primarily represents our share of equity method investment gains and losses from our technology-related investment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fluctuation for loss on investments, net was immaterial during the three months ended March 31, 2026 compared to the prior year period.</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on Note Receivable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Credit loss expense on note receivable recorded in the quarter ended March 31, 2025 consists of an allowance for credit losses on a note receivable from the divestiture of FeedbackNow during the third quarter of 2024.</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interest income, gains and losses on foreign currency, and gains and losses on foreign currency forward contracts. Other income, net decreased by $0.3 million during the three months ended March 31, 2026 compared to the prior year period primarily due to a decrease in interest income.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6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3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91"/>
        </w:trPr>
        <w:tc>
          <w:tcPr>
            <w:tcW w:w="4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Provision for (benefit from) income taxes (dollars in</w:t>
            </w:r>
          </w:p>
        </w:tc>
        <w:tc>
          <w:tcPr>
            <w:tcW w:w="38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34"/>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millions)</w:t>
            </w:r>
          </w:p>
        </w:tc>
        <w:tc>
          <w:tcPr>
            <w:tcW w:w="11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points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71"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decrease in the effective tax rate during the 2026 period was primarily due to (1) a significant decrease in the forecasted effective tax rate before discrete items in 2026, resulting in a negative tax rate in 2026, compared to positive rate in 2025, primarily due to a reduction in forecasted pre-tax income exclusive of discrete items in 2026 and (2) a decrease in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loss in 2026 due to the goodwill impairment charge in 2025, which is not deductible for tax purposes. For the full year 2026, we anticipate that our effective tax rate will be in the range of negative 5% to negative 10%.</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operate in three segments: Research, Consulting, and Events. These segments, which are also our reportable segments, are based on our management structure and how management uses financial information to evaluate performance and determine how to allocate resources. Our products and services are delivered through each segment as described below.</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The Research segment includes the revenues from all of our research products as well as consulting revenues from advisory services (such as speeches and advisory days) delivered by our research organization. Research segment costs include the cost of the organizations responsible for developing and delivering these products in addition to the costs of the product management organization that is responsible for product pricing and packaging, and the launch of new products.</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Consulting segment includes the revenues and the related costs of our project consulting organization. The project consulting organization delivers a majority of our project consulting revenue.</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Events segment includes the revenues and the costs of the organization responsible for developing and hosting our events. As of January 1, 2025, we realigned our events sponsorship sales team and as such the costs of this team were not reported as a direct expense of the Events segment during the first and second quarters of 2025. During the third quarter of 2025, the events sponsorship sales team was aligned back to Events and the costs of this team are now being reported as a direct expense of the Events segment. The three months ended March 31, 2025 have been conformed to the current presentation.</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segment operating income (loss). Segment expenses include the direct expenses of each segment organization and exclude selling and marketing expenses, general and administrative expenses, stock-based compensation expense, depreciation expense, adjustments to incentive bonus compensation from target amounts, amortization of intangible assets, goodwill impairment, restructuring costs, interest expense, credit loss expense on note receivable, other income, and losses on investments. The accounting policies used by the segments are the same as those used in the consolidated financial statements.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Research</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80" w:type="dxa"/>
            <w:vAlign w:val="bottom"/>
          </w:tcPr>
          <w:p>
            <w:pPr>
              <w:spacing w:after="0"/>
              <w:rPr>
                <w:sz w:val="13"/>
                <w:szCs w:val="13"/>
                <w:color w:val="auto"/>
              </w:rPr>
            </w:pPr>
          </w:p>
        </w:tc>
        <w:tc>
          <w:tcPr>
            <w:tcW w:w="130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71,732</w:t>
            </w:r>
          </w:p>
        </w:tc>
        <w:tc>
          <w:tcPr>
            <w:tcW w:w="1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45,122</w:t>
            </w:r>
          </w:p>
        </w:tc>
        <w:tc>
          <w:tcPr>
            <w:tcW w:w="1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Year over year revenue change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over year expense change</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4"/>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40"/>
        </w:trPr>
        <w:tc>
          <w:tcPr>
            <w:tcW w:w="3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Research</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4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9"/>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68,414</w:t>
            </w:r>
          </w:p>
        </w:tc>
        <w:tc>
          <w:tcPr>
            <w:tcW w:w="1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20" w:type="dxa"/>
            <w:vAlign w:val="bottom"/>
            <w:shd w:val="clear" w:color="auto" w:fill="CFF0FC"/>
          </w:tcPr>
          <w:p>
            <w:pPr>
              <w:spacing w:after="0"/>
              <w:rPr>
                <w:sz w:val="18"/>
                <w:szCs w:val="18"/>
                <w:color w:val="auto"/>
              </w:rPr>
            </w:pPr>
          </w:p>
        </w:tc>
        <w:tc>
          <w:tcPr>
            <w:tcW w:w="12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73,472</w:t>
            </w:r>
          </w:p>
        </w:tc>
        <w:tc>
          <w:tcPr>
            <w:tcW w:w="120" w:type="dxa"/>
            <w:vAlign w:val="bottom"/>
            <w:shd w:val="clear" w:color="auto" w:fill="CFF0FC"/>
          </w:tcPr>
          <w:p>
            <w:pPr>
              <w:spacing w:after="0"/>
              <w:rPr>
                <w:sz w:val="18"/>
                <w:szCs w:val="18"/>
                <w:color w:val="auto"/>
              </w:rPr>
            </w:pPr>
          </w:p>
        </w:tc>
        <w:tc>
          <w:tcPr>
            <w:tcW w:w="12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(26,136)</w:t>
            </w:r>
          </w:p>
        </w:tc>
        <w:tc>
          <w:tcPr>
            <w:tcW w:w="1460" w:type="dxa"/>
            <w:vAlign w:val="bottom"/>
            <w:gridSpan w:val="6"/>
          </w:tcPr>
          <w:p>
            <w:pPr>
              <w:jc w:val="right"/>
              <w:ind w:right="88"/>
              <w:spacing w:after="0"/>
              <w:rPr>
                <w:sz w:val="20"/>
                <w:szCs w:val="20"/>
                <w:color w:val="auto"/>
              </w:rPr>
            </w:pPr>
            <w:r>
              <w:rPr>
                <w:rFonts w:ascii="Times New Roman" w:cs="Times New Roman" w:eastAsia="Times New Roman" w:hAnsi="Times New Roman"/>
                <w:sz w:val="18"/>
                <w:szCs w:val="18"/>
                <w:color w:val="auto"/>
              </w:rPr>
              <w:t>(8,899)</w:t>
            </w:r>
          </w:p>
        </w:tc>
        <w:tc>
          <w:tcPr>
            <w:tcW w:w="3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(36,373)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segment revenues decreased 2% during the three months ended March 31, 2026 compared to the prior year period. For the three months ended March 31, 2026, research product revenues within this segment decreased 2% primarily due to the decrease in CV, partially offset by an increase in reprint revenue. For the three months ended March 31, 2026, consulting product revenues within this segment decreased 4% primarily due to decreased delivery of consulting services by our research analysts.</w:t>
      </w:r>
    </w:p>
    <w:p>
      <w:pPr>
        <w:spacing w:after="0" w:line="7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Research segment expenses increased 2% during the three months ended March 31, 2026 compared to the prior year period. The increase in expenses was primarily due to a $0.6 million increase in compensation and benefit costs.</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Consulting segment revenues decreased 16% during the three months ended March 31, 2026 compared to the prior year period. The decrease in revenues was due to a decrease in delivery of consulting services due to lower client bookings and due to the discontinuation of selling strategy consulting engagements.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Consulting segment expenses were consistent during the three months ended March 31, 2026 compared to the prior year period.</w:t>
      </w:r>
    </w:p>
    <w:p>
      <w:pPr>
        <w:spacing w:after="0" w:line="11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Event segment revenues and expenses were insignificant during the three months ended March 31, 2026 and 2025 as no events were held during either period.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funds generated from operations. Research revenues, which constituted approximately 78% of our revenues during the three months ended March 31, 2026, are generally renewable and are typically payable in advance. We generated cash from operating activities of $25.6 million during the three months ended March 31, 2026, which was consistent with the $26.7 million of cash generated from operating activities during the three months ended March 31, 2025.</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we used cash in investing activities of $14.1 million primarily from $7.8 million in net purchases of marketable investments and $6.2 million of purchases of property and equipment, which included approximately $5.4 million of leasehold improvements and furniture and fixtures for the renovation of our headquarters. During the three months ended March 31, 2025, we used cash in investing activities of $8.5 million primarily from $9.1 million in net purchases of marketable investments and $0.6 million of purchases of property and equipment, primarily consisting of computer software, partially offset by </w:t>
      </w:r>
      <w:r>
        <w:rPr>
          <w:rFonts w:ascii="Times New Roman" w:cs="Times New Roman" w:eastAsia="Times New Roman" w:hAnsi="Times New Roman"/>
          <w:sz w:val="18"/>
          <w:szCs w:val="18"/>
          <w:color w:val="212529"/>
        </w:rPr>
        <w:t>a $1.4 million distribution received from an equity method investment.</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April 11, 2025, we entered into a third amendment of our lease, and a new lease, for our principal headquarters located in Cambridge, Massachusetts. The effect of these agreements was to early terminate the original lease with respect to the first, second and third floors of the facility by the end of the second quarter of 2026, while also extending the lease term with respect to the fourth, fifth and six floors of the facility through June 30, 2039. As a result of reducing the number of floors that we will occupy, we are renovating floors four to six and currently expect to incur additional cash outflows for capital expenditures of $21.0 million to $22.0 million during the remainder of 2026. Under the terms of the lease agreement, the landlord is providing a tenant improvement allowance of $17.2 million, which is expected to be received in the second and third quarters of 2026. Future cash receipts for the tenant improvement allowance will be classified as operating cash flows in the Consolidated Statement of Cash Flows.</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generated cash from financing activities of $0.1 million primarily due to $0.5 million of net proceeds from the issuance of common stock under our stock-based incentive plans, partially offset by $0.2 million in taxes paid related to net share settlements of restricted stock units. During the three months ended March 31, 2025, we generated cash from financing activities of $0.2 million primarily due to $0.7 million of net proceeds from the issuance of common stock under our stock-based incentive plans, partially offset by $0.4 million in taxes paid related to net share settlements of restricted stock units. As of March 31, 2026, our remaining stock repurchase authorization was approximately $77.5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March 12, 2026, we executed a third amendment of the credit facility in order to extend its maturity period and to reduce the size of the facility in order to decrease ongoing costs of the facility. The key terms of the amendment include (a) an extension of the maturity date from December 2026 until March 2029, (b) a reduction in the facility from $150.0 million to $50.0 million, (c) a reduction in the amount that the we are permitted, subject to approval by the administrative agent, to increase commitments under the facility from $50.0 million to $15.0 million, and (d) the addition of a minimum liquidity covenant.</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credit facility contains certain customary restrictive loan covenants, including among others, financial covenants that apply a maximum leverage ratio, minimum interest coverage ratio, minimum liquidity amount, and maximum annual capital expenditures. The negative covenants limit, subject to various exceptions, our ability to incur additional indebtedness, create liens on assets, merge, consolidate, liquidate or dissolve any part of the company, sell assets, change fiscal year, or enter into certain transactions with affiliates and subsidiaries. We were in full compliance with the covenants as of March 31, 2026 and expect to continue to be in compliance through the next 12 months.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Additional future contractual cash obligations extending over the next 12 months and beyond primarily consist of operating lease payments. We lease office space under non-cancelable operating lease agreements (refer to Note 6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for additional information). The remaining duration of non-cancelable office space leases ranges from less than 1 year to 13 years. Remaining lease payments within one year, within two to three years, within four to five years, and after five years from March 31, 2026, are $6.1 million, $14.7 million, $13.1 million, and $37.7 million respectively.</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contractual cash commitments included above, we have other payables and liabilities that may be legally enforceable but are not considered contractual commitments.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investments of $145.5 million. This balance includes $102.2 million held outside of the U.S. If the cash outside of the U.S. is needed for operations in the U.S., we would be required to accrue and pay U.S. state taxes and may be required to pay withholding taxes to foreign jurisdictions to repatriate these funds. However, our intent is to permanently reinvest these funds outside of the U.S. and our current plans do not demonstrate a need to repatriate these funds for our U.S. operations. We believe that our current cash balance and cash flows from operations will satisfy working capital, financing activities, and capital expenditure requirements for the next twelve months and to meet our known long-term cash requirements.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did not have any significant unrecognized tax benefits for uncertain tax positions.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3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 – </w:t>
      </w:r>
      <w:r>
        <w:rPr>
          <w:rFonts w:ascii="Times New Roman" w:cs="Times New Roman" w:eastAsia="Times New Roman" w:hAnsi="Times New Roman"/>
          <w:sz w:val="18"/>
          <w:szCs w:val="18"/>
          <w:i w:val="1"/>
          <w:iCs w:val="1"/>
          <w:color w:val="auto"/>
        </w:rPr>
        <w:t>Interim Consolidated Financial Statements</w:t>
      </w:r>
      <w:r>
        <w:rPr>
          <w:rFonts w:ascii="Times New Roman" w:cs="Times New Roman" w:eastAsia="Times New Roman" w:hAnsi="Times New Roman"/>
          <w:sz w:val="18"/>
          <w:szCs w:val="18"/>
          <w:color w:val="auto"/>
        </w:rPr>
        <w:t xml:space="preserve"> in the Notes to Consolidated Financial Statements for a full description of recent accounting pronouncements including the expected dates of adoption and effects on results of operations and financial condition. There have been no material changes to the critical accounting policies and estimates previously disclosed in that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information regarding our critical accounting policies and estimates, please refer to Note 1, "Summary of Significant Accounting Policies" and Item 7, “Critical Accounting Estimates” contained in our Annual Report on Form 10-K for the fiscal year ended December 31, 2025. There have been no material changes to the critical accounting policies and estimates previously disclosed in that report.</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7"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sensitivity to market risk since our presentation set forth in Item 7A, “Quantitative and Qualitative Disclosures About Market Risk,”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Securities Exchange Act Rule 13a-15(e),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 Our management, with the participation of our principal executive officer and principal financial officer, has evaluated the effectiveness of our disclosure controls and procedures as of March 31, 2026. Based upon their evaluation and subject to the foregoing, the principal executive officer and principal financial officer concluded that our disclosure controls and procedures were effective to provide reasonable assurance as of that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of the Exchange Act) that occurred during the quarter ended March 31, 2026, which has materially affected, or is reasonably likely to materially affect, our internal control over financial reporting.</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information set forth in the "Note 17 -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in Part I, Item 1 of this Quarterly Report is incorporated herein by reference.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Form 10-Q, you should carefully consider the factors discussed in Part I, “Item 1A: Risk Factors” in our Annual Report on Form 10-K for the year ended December 31, 2025, which could materially affect our business, financial condition or future results. The risk factors described in our Annual Report on Form 10-K remain applicable to our business. The risks described in our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Through March 31, 2026, our Board of Directors authorized an aggregate $610.0 million to purchase common stock under our stock repurchase program. During the quarter ended March 31, 2026, we did not purchase any shares of our common stock under the stock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97"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w:t>
            </w:r>
          </w:p>
        </w:tc>
        <w:tc>
          <w:tcPr>
            <w:tcW w:w="101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Restated Certificate of Incorporation of Forrester Research, Inc. (see Exhibit 3.1 to Registration Statement on Form S-1A filed on November</w:t>
              </w:r>
            </w:hyperlink>
          </w:p>
        </w:tc>
      </w:tr>
      <w:tr>
        <w:trPr>
          <w:trHeight w:val="196"/>
        </w:trPr>
        <w:tc>
          <w:tcPr>
            <w:tcW w:w="108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255">
              <w:r>
                <w:rPr>
                  <w:rFonts w:ascii="Times New Roman" w:cs="Times New Roman" w:eastAsia="Times New Roman" w:hAnsi="Times New Roman"/>
                  <w:sz w:val="18"/>
                  <w:szCs w:val="18"/>
                  <w:color w:val="0000FF"/>
                  <w:w w:val="96"/>
                </w:rPr>
                <w:t>5, 1996)</w:t>
              </w:r>
            </w:hyperlink>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Certificate of Amendment of the Certificate of Incorporation of Forrester Research, Inc. (see Exhibit 3.1 to Annual Report on Form 10-K for</w:t>
              </w:r>
            </w:hyperlink>
          </w:p>
        </w:tc>
      </w:tr>
      <w:tr>
        <w:trPr>
          <w:trHeight w:val="196"/>
        </w:trPr>
        <w:tc>
          <w:tcPr>
            <w:tcW w:w="1080" w:type="dxa"/>
            <w:vAlign w:val="bottom"/>
          </w:tcPr>
          <w:p>
            <w:pPr>
              <w:spacing w:after="0"/>
              <w:rPr>
                <w:sz w:val="17"/>
                <w:szCs w:val="17"/>
                <w:color w:val="auto"/>
              </w:rPr>
            </w:pPr>
          </w:p>
        </w:tc>
        <w:tc>
          <w:tcPr>
            <w:tcW w:w="25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the year ended December 31, 1999)</w:t>
              </w:r>
            </w:hyperlink>
          </w:p>
        </w:tc>
        <w:tc>
          <w:tcPr>
            <w:tcW w:w="20" w:type="dxa"/>
            <w:vAlign w:val="bottom"/>
            <w:tcBorders>
              <w:bottom w:val="single" w:sz="8" w:color="0000EE"/>
            </w:tcBorders>
          </w:tcPr>
          <w:p>
            <w:pPr>
              <w:spacing w:after="0"/>
              <w:rPr>
                <w:sz w:val="17"/>
                <w:szCs w:val="17"/>
                <w:color w:val="auto"/>
              </w:rPr>
            </w:pPr>
          </w:p>
        </w:tc>
        <w:tc>
          <w:tcPr>
            <w:tcW w:w="7560" w:type="dxa"/>
            <w:vAlign w:val="bottom"/>
            <w:gridSpan w:val="10"/>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3.3</w:t>
            </w:r>
          </w:p>
        </w:tc>
        <w:tc>
          <w:tcPr>
            <w:tcW w:w="10160" w:type="dxa"/>
            <w:vAlign w:val="bottom"/>
            <w:gridSpan w:val="18"/>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Certificate of Amendment to Restated Certificate of Incorporation of Forrester Research, Inc. (see Exhibit 3.1 to Form 8-K filed on May 25,</w:t>
              </w:r>
            </w:hyperlink>
          </w:p>
        </w:tc>
      </w:tr>
      <w:tr>
        <w:trPr>
          <w:trHeight w:val="196"/>
        </w:trPr>
        <w:tc>
          <w:tcPr>
            <w:tcW w:w="10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257">
              <w:r>
                <w:rPr>
                  <w:rFonts w:ascii="Times New Roman" w:cs="Times New Roman" w:eastAsia="Times New Roman" w:hAnsi="Times New Roman"/>
                  <w:sz w:val="18"/>
                  <w:szCs w:val="18"/>
                  <w:color w:val="0000FF"/>
                  <w:w w:val="95"/>
                </w:rPr>
                <w:t>2017)</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w:t>
            </w:r>
          </w:p>
        </w:tc>
        <w:tc>
          <w:tcPr>
            <w:tcW w:w="10160" w:type="dxa"/>
            <w:vAlign w:val="bottom"/>
            <w:gridSpan w:val="18"/>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Amended and Restated By-Laws of Forrester Research, Inc. (see Exhibit 3.4 to Annual Report on Form 10-K for the year ended December</w:t>
              </w:r>
            </w:hyperlink>
          </w:p>
        </w:tc>
      </w:tr>
      <w:tr>
        <w:trPr>
          <w:trHeight w:val="196"/>
        </w:trPr>
        <w:tc>
          <w:tcPr>
            <w:tcW w:w="1080" w:type="dxa"/>
            <w:vAlign w:val="bottom"/>
          </w:tcPr>
          <w:p>
            <w:pPr>
              <w:spacing w:after="0"/>
              <w:rPr>
                <w:sz w:val="17"/>
                <w:szCs w:val="17"/>
                <w:color w:val="auto"/>
              </w:rPr>
            </w:pPr>
          </w:p>
        </w:tc>
        <w:tc>
          <w:tcPr>
            <w:tcW w:w="7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58">
              <w:r>
                <w:rPr>
                  <w:rFonts w:ascii="Times New Roman" w:cs="Times New Roman" w:eastAsia="Times New Roman" w:hAnsi="Times New Roman"/>
                  <w:sz w:val="18"/>
                  <w:szCs w:val="18"/>
                  <w:color w:val="0000FF"/>
                  <w:w w:val="98"/>
                </w:rPr>
                <w:t>31, 2022)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Specimen Certificate for shares of Common Stock, $.01 par value, of Forrester Research, Inc. (see Exhibit 4 to Registration Statement on</w:t>
              </w:r>
            </w:hyperlink>
          </w:p>
        </w:tc>
        <w:tc>
          <w:tcPr>
            <w:tcW w:w="22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8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Form S-1A filed on November 5, 1996)</w:t>
              </w:r>
            </w:hyperlink>
          </w:p>
        </w:tc>
        <w:tc>
          <w:tcPr>
            <w:tcW w:w="7280" w:type="dxa"/>
            <w:vAlign w:val="bottom"/>
            <w:gridSpan w:val="9"/>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31.1</w:t>
            </w:r>
          </w:p>
        </w:tc>
        <w:tc>
          <w:tcPr>
            <w:tcW w:w="4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(filed herewith)</w:t>
            </w:r>
          </w:p>
        </w:tc>
        <w:tc>
          <w:tcPr>
            <w:tcW w:w="5540" w:type="dxa"/>
            <w:vAlign w:val="bottom"/>
            <w:gridSpan w:val="7"/>
          </w:tcPr>
          <w:p>
            <w:pPr>
              <w:spacing w:after="0"/>
              <w:rPr>
                <w:sz w:val="24"/>
                <w:szCs w:val="24"/>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31.2</w:t>
            </w: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1080" w:type="dxa"/>
            <w:vAlign w:val="bottom"/>
          </w:tcPr>
          <w:p>
            <w:pPr>
              <w:spacing w:after="0" w:line="20" w:lineRule="exact"/>
              <w:rPr>
                <w:sz w:val="1"/>
                <w:szCs w:val="1"/>
                <w:color w:val="auto"/>
              </w:rPr>
            </w:pPr>
          </w:p>
        </w:tc>
        <w:tc>
          <w:tcPr>
            <w:tcW w:w="4580" w:type="dxa"/>
            <w:vAlign w:val="bottom"/>
            <w:tcBorders>
              <w:right w:val="single" w:sz="8" w:color="0000EE"/>
            </w:tcBorders>
            <w:gridSpan w:val="10"/>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32.1</w:t>
            </w: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906 of the Sarbanes-Oxley Act of 2002. (furnished herewith)</w:t>
            </w: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32.2</w:t>
            </w:r>
          </w:p>
        </w:tc>
        <w:tc>
          <w:tcPr>
            <w:tcW w:w="89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906 of the Sarbanes-Oxley Act of 2002. (furnished herewith)</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40" w:type="dxa"/>
            <w:vAlign w:val="bottom"/>
            <w:gridSpan w:val="4"/>
          </w:tcPr>
          <w:p>
            <w:pPr>
              <w:spacing w:after="0"/>
              <w:rPr>
                <w:sz w:val="24"/>
                <w:szCs w:val="24"/>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08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 (filed herewith)</w:t>
            </w: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 (filed herewith)</w:t>
            </w:r>
          </w:p>
        </w:tc>
      </w:tr>
    </w:tbl>
    <w:p>
      <w:pPr>
        <w:spacing w:after="0" w:line="103" w:lineRule="exact"/>
        <w:rPr>
          <w:sz w:val="20"/>
          <w:szCs w:val="20"/>
          <w:color w:val="auto"/>
        </w:rPr>
      </w:pPr>
    </w:p>
    <w:p>
      <w:pPr>
        <w:ind w:left="5540" w:right="3120" w:hanging="5532"/>
        <w:spacing w:after="0" w:line="814" w:lineRule="auto"/>
        <w:tabs>
          <w:tab w:leader="none" w:pos="10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(filed herewith)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FORRESTER RESEARCH, INC.</w:t>
      </w:r>
    </w:p>
    <w:p>
      <w:pPr>
        <w:spacing w:after="0" w:line="1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L. CHRISTIAN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 Christian Finn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5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F. Colony, certify that:</w:t>
      </w:r>
    </w:p>
    <w:p>
      <w:pPr>
        <w:spacing w:after="0" w:line="225" w:lineRule="exact"/>
        <w:rPr>
          <w:sz w:val="20"/>
          <w:szCs w:val="20"/>
          <w:color w:val="auto"/>
        </w:rPr>
      </w:pPr>
    </w:p>
    <w:p>
      <w:pPr>
        <w:ind w:left="700" w:hanging="183"/>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Forrester Research,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320" w:firstLine="517"/>
        <w:spacing w:after="0" w:line="266" w:lineRule="auto"/>
        <w:tabs>
          <w:tab w:leader="none" w:pos="6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right="820" w:firstLine="517"/>
        <w:spacing w:after="0" w:line="282" w:lineRule="auto"/>
        <w:tabs>
          <w:tab w:leader="none" w:pos="6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20" w:firstLine="517"/>
        <w:spacing w:after="0" w:line="266" w:lineRule="auto"/>
        <w:tabs>
          <w:tab w:leader="none" w:pos="7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517"/>
        <w:spacing w:after="0" w:line="282"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right="240" w:firstLine="517"/>
        <w:spacing w:after="0" w:line="282" w:lineRule="auto"/>
        <w:tabs>
          <w:tab w:leader="none" w:pos="6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F. COLONY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F. Colony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Christian Finn, certify that:</w:t>
      </w:r>
    </w:p>
    <w:p>
      <w:pPr>
        <w:spacing w:after="0" w:line="225" w:lineRule="exact"/>
        <w:rPr>
          <w:sz w:val="20"/>
          <w:szCs w:val="20"/>
          <w:color w:val="auto"/>
        </w:rPr>
      </w:pPr>
    </w:p>
    <w:p>
      <w:pPr>
        <w:ind w:left="700" w:hanging="183"/>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Forrester Research,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320" w:firstLine="517"/>
        <w:spacing w:after="0" w:line="266" w:lineRule="auto"/>
        <w:tabs>
          <w:tab w:leader="none" w:pos="6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right="820" w:firstLine="517"/>
        <w:spacing w:after="0" w:line="282" w:lineRule="auto"/>
        <w:tabs>
          <w:tab w:leader="none" w:pos="6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20" w:firstLine="517"/>
        <w:spacing w:after="0" w:line="266" w:lineRule="auto"/>
        <w:tabs>
          <w:tab w:leader="none" w:pos="7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517"/>
        <w:spacing w:after="0" w:line="282" w:lineRule="auto"/>
        <w:tabs>
          <w:tab w:leader="none" w:pos="6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right="240" w:firstLine="517"/>
        <w:spacing w:after="0" w:line="282" w:lineRule="auto"/>
        <w:tabs>
          <w:tab w:leader="none" w:pos="6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 CHRISTIAN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Christian Finn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Forrester Research, Inc. (the “Company”), does hereby certify that to the undersigned’s knowledge:</w:t>
      </w:r>
    </w:p>
    <w:p>
      <w:pPr>
        <w:spacing w:after="0" w:line="54" w:lineRule="exact"/>
        <w:rPr>
          <w:sz w:val="20"/>
          <w:szCs w:val="20"/>
          <w:color w:val="auto"/>
        </w:rPr>
      </w:pPr>
    </w:p>
    <w:p>
      <w:pPr>
        <w:ind w:left="1020" w:right="160" w:hanging="479"/>
        <w:spacing w:after="0" w:line="312" w:lineRule="auto"/>
        <w:tabs>
          <w:tab w:leader="none" w:pos="8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quarter ended March 31, 2026, as filed with the Securities and Exchange Commission (the “10-Q Report”), fully complies with the requirements of Section 13(a) or 15(d) of the Securities Exchange Act of 1934; and</w:t>
      </w:r>
    </w:p>
    <w:p>
      <w:pPr>
        <w:spacing w:after="0" w:line="31" w:lineRule="exact"/>
        <w:rPr>
          <w:rFonts w:ascii="Times New Roman" w:cs="Times New Roman" w:eastAsia="Times New Roman" w:hAnsi="Times New Roman"/>
          <w:sz w:val="17"/>
          <w:szCs w:val="17"/>
          <w:color w:val="auto"/>
        </w:rPr>
      </w:pPr>
    </w:p>
    <w:p>
      <w:pPr>
        <w:ind w:left="1020" w:right="320" w:hanging="479"/>
        <w:spacing w:after="0" w:line="282"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F. Colony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F. Colony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Forrester Research, Inc. (the “Company”), does hereby certify that to the undersigned’s knowledge:</w:t>
      </w:r>
    </w:p>
    <w:p>
      <w:pPr>
        <w:spacing w:after="0" w:line="54" w:lineRule="exact"/>
        <w:rPr>
          <w:sz w:val="20"/>
          <w:szCs w:val="20"/>
          <w:color w:val="auto"/>
        </w:rPr>
      </w:pPr>
    </w:p>
    <w:p>
      <w:pPr>
        <w:ind w:left="1020" w:right="160" w:hanging="479"/>
        <w:spacing w:after="0" w:line="312" w:lineRule="auto"/>
        <w:tabs>
          <w:tab w:leader="none" w:pos="89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quarter ended March 31, 2026, as filed with the Securities and Exchange Commission (the “10-Q Report”), fully complies with the requirements of Section 13(a) or 15(d) of the Securities Exchange Act of 1934; and</w:t>
      </w:r>
    </w:p>
    <w:p>
      <w:pPr>
        <w:spacing w:after="0" w:line="31" w:lineRule="exact"/>
        <w:rPr>
          <w:rFonts w:ascii="Times New Roman" w:cs="Times New Roman" w:eastAsia="Times New Roman" w:hAnsi="Times New Roman"/>
          <w:sz w:val="17"/>
          <w:szCs w:val="17"/>
          <w:color w:val="auto"/>
        </w:rPr>
      </w:pPr>
    </w:p>
    <w:p>
      <w:pPr>
        <w:ind w:left="1020" w:right="320" w:hanging="479"/>
        <w:spacing w:after="0" w:line="282"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 CHRISTIAN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Christian Finn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04"/>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55" Type="http://schemas.openxmlformats.org/officeDocument/2006/relationships/hyperlink" Target="https://www.sec.gov/Archives/edgar/data/1023313/0000950135-96-004663.txt" TargetMode="External"/><Relationship Id="rId256" Type="http://schemas.openxmlformats.org/officeDocument/2006/relationships/hyperlink" Target="https://www.sec.gov/Archives/edgar/data/1023313/000095013500001340/0000950135-00-001340.txt" TargetMode="External"/><Relationship Id="rId257" Type="http://schemas.openxmlformats.org/officeDocument/2006/relationships/hyperlink" Target="https://www.sec.gov/Archives/edgar/data/1023313/000119312517183027/d402162dex31.htm" TargetMode="External"/><Relationship Id="rId258" Type="http://schemas.openxmlformats.org/officeDocument/2006/relationships/hyperlink" Target="https://www.sec.gov/Archives/edgar/data/1023313/000095017023007151/forr-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2026-05-08T08:07:34Z</dcterms:created>
  <dcterms:modified xsi:type="dcterms:W3CDTF">2026-05-08T08:07:34Z</dcterms:modified>
</cp:coreProperties>
</file>