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forr-20250513.htm"/>
      <w:bookmarkStart w:id="1" w:name="ksforr2025051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13,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FORRESTER RESEARCH,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000-21433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04-2797789</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 Acorn Park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02140</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613-6000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720" w:type="dxa"/>
        <w:jc w:val="left"/>
        <w:tblInd w:w="0" w:type="dxa"/>
        <w:tblLayout w:type="fixed"/>
        <w:tblCellMar>
          <w:top w:w="28" w:type="dxa"/>
          <w:left w:w="28" w:type="dxa"/>
          <w:bottom w:w="28" w:type="dxa"/>
          <w:right w:w="28" w:type="dxa"/>
        </w:tblCellMar>
      </w:tblPr>
      <w:tblGrid>
        <w:gridCol w:w="2656"/>
        <w:gridCol w:w="146"/>
        <w:gridCol w:w="946"/>
        <w:gridCol w:w="146"/>
        <w:gridCol w:w="3826"/>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65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b/>
          <w:color w:val="000000"/>
          <w:sz w:val="20"/>
        </w:rPr>
      </w:pPr>
      <w:r>
        <w:rPr>
          <w:rFonts w:ascii="Times New Roman" w:hAnsi="Times New Roman"/>
          <w:b/>
          <w:color w:val="000000"/>
          <w:sz w:val="20"/>
        </w:rPr>
        <w:t>Item 5.07 Submission of Matters to a Vote of Security Holders.</w:t>
      </w:r>
    </w:p>
    <w:p>
      <w:pPr>
        <w:pStyle w:val="TextBody"/>
        <w:bidi w:val="0"/>
        <w:jc w:val="left"/>
        <w:rPr>
          <w:rFonts w:ascii="Times New Roman" w:hAnsi="Times New Roman"/>
          <w:color w:val="000000"/>
          <w:sz w:val="20"/>
        </w:rPr>
      </w:pPr>
      <w:r>
        <w:rPr>
          <w:rFonts w:ascii="Times New Roman" w:hAnsi="Times New Roman"/>
          <w:color w:val="000000"/>
          <w:sz w:val="20"/>
        </w:rPr>
        <w:t>At the Annual Meeting of Stockholders of Forrester Research, Inc. (the “Company”) held on May 13, 2025 (the “Annual Meeting”), the proposals listed below were submitted to a vote of the stockholders.The proposals are described in the Company’s definitive proxy statement for the Annual Meeting. Each of the proposals was approved by the stockholders pursuant to the voting results set forth below.</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Proposal 1 – The election of six nominees to the Company’s Board of Directors.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six nominees named in the definitive proxy statement were elected to serve as directors. Information as to the vote on each director standing for election is provided below:</w:t>
      </w:r>
    </w:p>
    <w:p>
      <w:pPr>
        <w:pStyle w:val="TextBody"/>
        <w:bidi w:val="0"/>
        <w:jc w:val="left"/>
        <w:rPr/>
      </w:pPr>
      <w:r>
        <w:rPr/>
        <w:t> </w:t>
      </w:r>
    </w:p>
    <w:tbl>
      <w:tblPr>
        <w:tblW w:w="5389" w:type="dxa"/>
        <w:jc w:val="left"/>
        <w:tblInd w:w="0" w:type="dxa"/>
        <w:tblLayout w:type="fixed"/>
        <w:tblCellMar>
          <w:top w:w="28" w:type="dxa"/>
          <w:left w:w="28" w:type="dxa"/>
          <w:bottom w:w="28" w:type="dxa"/>
          <w:right w:w="28" w:type="dxa"/>
        </w:tblCellMar>
      </w:tblPr>
      <w:tblGrid>
        <w:gridCol w:w="1801"/>
        <w:gridCol w:w="1036"/>
        <w:gridCol w:w="931"/>
        <w:gridCol w:w="1621"/>
      </w:tblGrid>
      <w:tr>
        <w:trPr/>
        <w:tc>
          <w:tcPr>
            <w:tcW w:w="180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1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Nominee</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For</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Withheld</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Broker Non-Votes</w:t>
            </w:r>
          </w:p>
        </w:tc>
      </w:tr>
      <w:tr>
        <w:trPr/>
        <w:tc>
          <w:tcPr>
            <w:tcW w:w="1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Bennett</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15,084,609</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1,491,984</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1,648,009</w:t>
            </w:r>
          </w:p>
        </w:tc>
      </w:tr>
      <w:tr>
        <w:trPr/>
        <w:tc>
          <w:tcPr>
            <w:tcW w:w="1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Neil Bradford</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15,516,293</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1,060,300</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1,648,009</w:t>
            </w:r>
          </w:p>
        </w:tc>
      </w:tr>
      <w:tr>
        <w:trPr/>
        <w:tc>
          <w:tcPr>
            <w:tcW w:w="1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George F. Colony</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16,403,422</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173,171</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1,648,009</w:t>
            </w:r>
          </w:p>
        </w:tc>
      </w:tr>
      <w:tr>
        <w:trPr/>
        <w:tc>
          <w:tcPr>
            <w:tcW w:w="1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Anthony Friscia</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15,512,530</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1,064,063</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1,648,009</w:t>
            </w:r>
          </w:p>
        </w:tc>
      </w:tr>
      <w:tr>
        <w:trPr/>
        <w:tc>
          <w:tcPr>
            <w:tcW w:w="1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Corinne Munchbach</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16,475,646</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100,947</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1,648,009</w:t>
            </w:r>
          </w:p>
        </w:tc>
      </w:tr>
      <w:tr>
        <w:trPr/>
        <w:tc>
          <w:tcPr>
            <w:tcW w:w="1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Warren Romine</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16,408,398</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168,195</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1,648,009</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Proposal 2 – The ratification of the selection of PricewaterhouseCoopers LLP as the Company’s independent registered public accounting firm for the fiscal year ending December 31,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voting results were as follows:</w:t>
      </w:r>
    </w:p>
    <w:tbl>
      <w:tblPr>
        <w:tblW w:w="4414" w:type="dxa"/>
        <w:jc w:val="left"/>
        <w:tblInd w:w="0" w:type="dxa"/>
        <w:tblLayout w:type="fixed"/>
        <w:tblCellMar>
          <w:top w:w="28" w:type="dxa"/>
          <w:left w:w="28" w:type="dxa"/>
          <w:bottom w:w="28" w:type="dxa"/>
          <w:right w:w="28" w:type="dxa"/>
        </w:tblCellMar>
      </w:tblPr>
      <w:tblGrid>
        <w:gridCol w:w="1051"/>
        <w:gridCol w:w="736"/>
        <w:gridCol w:w="1006"/>
        <w:gridCol w:w="1621"/>
      </w:tblGrid>
      <w:tr>
        <w:trPr/>
        <w:tc>
          <w:tcPr>
            <w:tcW w:w="105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For</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Against</w:t>
            </w:r>
          </w:p>
        </w:tc>
        <w:tc>
          <w:tcPr>
            <w:tcW w:w="10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Abstaining</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Broker Non-Votes</w:t>
            </w:r>
          </w:p>
        </w:tc>
      </w:tr>
      <w:tr>
        <w:trPr/>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18,075,088</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66,903</w:t>
            </w:r>
          </w:p>
        </w:tc>
        <w:tc>
          <w:tcPr>
            <w:tcW w:w="10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82,611</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Proposal 3 – Approval by non-binding vote Forrester Research, Inc. executive compensation.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voting results were as follows:</w:t>
      </w:r>
    </w:p>
    <w:p>
      <w:pPr>
        <w:pStyle w:val="TextBody"/>
        <w:bidi w:val="0"/>
        <w:jc w:val="left"/>
        <w:rPr/>
      </w:pPr>
      <w:r>
        <w:rPr/>
        <w:t> </w:t>
      </w:r>
    </w:p>
    <w:tbl>
      <w:tblPr>
        <w:tblW w:w="4459" w:type="dxa"/>
        <w:jc w:val="left"/>
        <w:tblInd w:w="0" w:type="dxa"/>
        <w:tblLayout w:type="fixed"/>
        <w:tblCellMar>
          <w:top w:w="28" w:type="dxa"/>
          <w:left w:w="28" w:type="dxa"/>
          <w:bottom w:w="28" w:type="dxa"/>
          <w:right w:w="28" w:type="dxa"/>
        </w:tblCellMar>
      </w:tblPr>
      <w:tblGrid>
        <w:gridCol w:w="1051"/>
        <w:gridCol w:w="781"/>
        <w:gridCol w:w="1006"/>
        <w:gridCol w:w="1621"/>
      </w:tblGrid>
      <w:tr>
        <w:trPr/>
        <w:tc>
          <w:tcPr>
            <w:tcW w:w="105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For</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Against</w:t>
            </w:r>
          </w:p>
        </w:tc>
        <w:tc>
          <w:tcPr>
            <w:tcW w:w="10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Abstaining</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Broker Non-Votes</w:t>
            </w:r>
          </w:p>
        </w:tc>
      </w:tr>
      <w:tr>
        <w:trPr/>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16,139,905</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291,126</w:t>
            </w:r>
          </w:p>
        </w:tc>
        <w:tc>
          <w:tcPr>
            <w:tcW w:w="10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145,562</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1,648,009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439" w:type="dxa"/>
        <w:jc w:val="left"/>
        <w:tblInd w:w="0" w:type="dxa"/>
        <w:tblLayout w:type="fixed"/>
        <w:tblCellMar>
          <w:top w:w="28" w:type="dxa"/>
          <w:left w:w="28" w:type="dxa"/>
          <w:bottom w:w="28" w:type="dxa"/>
          <w:right w:w="28" w:type="dxa"/>
        </w:tblCellMar>
      </w:tblPr>
      <w:tblGrid>
        <w:gridCol w:w="556"/>
        <w:gridCol w:w="1246"/>
        <w:gridCol w:w="451"/>
        <w:gridCol w:w="4186"/>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FORRESTER RESEARCH,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14, 2025</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18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Ryan D. Darrah</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Ryan D. Darrah, Chief Legal Officer and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565</Words>
  <Characters>3222</Characters>
  <CharactersWithSpaces>3747</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