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6, 2026</w:t>
      </w:r>
    </w:p>
    <w:p>
      <w:pPr>
        <w:spacing w:after="0" w:line="30"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FORRESTER RESEARCH,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20" w:type="dxa"/>
        <w:tblCellMar>
          <w:top w:w="0" w:type="dxa"/>
          <w:left w:w="0" w:type="dxa"/>
          <w:bottom w:w="0" w:type="dxa"/>
          <w:right w:w="0" w:type="dxa"/>
        </w:tblCellMar>
      </w:tblPr>
      <w:tr>
        <w:trPr>
          <w:trHeight w:val="211"/>
        </w:trPr>
        <w:tc>
          <w:tcPr>
            <w:tcW w:w="3860" w:type="dxa"/>
            <w:vAlign w:val="bottom"/>
          </w:tcPr>
          <w:p>
            <w:pPr>
              <w:jc w:val="center"/>
              <w:ind w:right="194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w w:val="98"/>
              </w:rPr>
              <w:t>04-2797789</w:t>
            </w:r>
          </w:p>
        </w:tc>
      </w:tr>
      <w:tr>
        <w:trPr>
          <w:trHeight w:val="147"/>
        </w:trPr>
        <w:tc>
          <w:tcPr>
            <w:tcW w:w="3860" w:type="dxa"/>
            <w:vAlign w:val="bottom"/>
          </w:tcPr>
          <w:p>
            <w:pPr>
              <w:jc w:val="center"/>
              <w:ind w:right="192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4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860" w:type="dxa"/>
            <w:vAlign w:val="bottom"/>
          </w:tcPr>
          <w:p>
            <w:pPr>
              <w:jc w:val="center"/>
              <w:ind w:right="19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 Acorn Park Drive</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Massachusetts 02140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613-6000</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Forrester Research, Inc. Amended and Restated Employee Stock Purchase Plan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Ryan Darrah, Esq.</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 Acorn Park Drive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Massachusetts 02140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613-6000</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 R. Pitfield, Esq.</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Choate, Hall &amp; Stewart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Two International Place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 02110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248-5000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6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60"/>
          </w:cols>
          <w:pgMar w:left="500" w:top="224" w:right="5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This registration statement on Form S-8 is filed by Forrester Research, Inc., a Delaware corporation (the “Company”), to register an additional 450,000 shares of its common stock, $0.01 par value per share (“Common Stock”), for issuance pursuant to the Forrester Research, Inc. Amended and Restated Employee Stock Purchase Plan (the “Plan”). The Plan was described in the Company’s definitive Proxy Statement for its 2026 Annual Meeting of Stockholders held on May 12, 2026 and was approved by the Company’s stockholders at that meeting.</w:t>
      </w:r>
    </w:p>
    <w:p>
      <w:pPr>
        <w:spacing w:after="0" w:line="182" w:lineRule="exact"/>
        <w:rPr>
          <w:sz w:val="20"/>
          <w:szCs w:val="20"/>
          <w:color w:val="auto"/>
        </w:rPr>
      </w:pPr>
    </w:p>
    <w:p>
      <w:pPr>
        <w:ind w:right="660" w:firstLine="436"/>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450,000 shares being registered hereby are in addition to the shares of Common Stock registered by the Company’s prior registration statements on Form S-8 filed on </w:t>
      </w:r>
      <w:hyperlink r:id="rId17">
        <w:r>
          <w:rPr>
            <w:rFonts w:ascii="Times New Roman" w:cs="Times New Roman" w:eastAsia="Times New Roman" w:hAnsi="Times New Roman"/>
            <w:sz w:val="17"/>
            <w:szCs w:val="17"/>
            <w:u w:val="single" w:color="auto"/>
            <w:color w:val="0000EE"/>
          </w:rPr>
          <w:t>November 27, 1996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333-16905), </w:t>
      </w:r>
      <w:hyperlink r:id="rId18">
        <w:r>
          <w:rPr>
            <w:rFonts w:ascii="Times New Roman" w:cs="Times New Roman" w:eastAsia="Times New Roman" w:hAnsi="Times New Roman"/>
            <w:sz w:val="17"/>
            <w:szCs w:val="17"/>
            <w:u w:val="single" w:color="auto"/>
            <w:color w:val="0000EE"/>
          </w:rPr>
          <w:t>September 18, 2002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333-99749), </w:t>
      </w:r>
      <w:hyperlink r:id="rId19">
        <w:r>
          <w:rPr>
            <w:rFonts w:ascii="Times New Roman" w:cs="Times New Roman" w:eastAsia="Times New Roman" w:hAnsi="Times New Roman"/>
            <w:sz w:val="17"/>
            <w:szCs w:val="17"/>
            <w:u w:val="single" w:color="auto"/>
            <w:color w:val="0000EE"/>
          </w:rPr>
          <w:t>May 29, 2009</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333-159563), </w:t>
      </w:r>
      <w:hyperlink r:id="rId20">
        <w:r>
          <w:rPr>
            <w:rFonts w:ascii="Times New Roman" w:cs="Times New Roman" w:eastAsia="Times New Roman" w:hAnsi="Times New Roman"/>
            <w:sz w:val="18"/>
            <w:szCs w:val="18"/>
            <w:u w:val="single" w:color="auto"/>
            <w:color w:val="0000EE"/>
          </w:rPr>
          <w:t>June 22, 2018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333-225817), and </w:t>
      </w:r>
      <w:hyperlink r:id="rId21">
        <w:r>
          <w:rPr>
            <w:rFonts w:ascii="Times New Roman" w:cs="Times New Roman" w:eastAsia="Times New Roman" w:hAnsi="Times New Roman"/>
            <w:sz w:val="18"/>
            <w:szCs w:val="18"/>
            <w:u w:val="single" w:color="auto"/>
            <w:color w:val="0000EE"/>
          </w:rPr>
          <w:t>May 26,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333-265230) (collectively, the “Prior Registration Statements”).</w:t>
      </w:r>
    </w:p>
    <w:p>
      <w:pPr>
        <w:spacing w:after="0" w:line="20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that to which the Prior Registration Statements relate and is submitted in accordance with General Instruction E to Form S-8 as promulgated by the Securities and Exchange Commission (the “Commission”) regarding Registration of Additional Securities. Pursuant to such instruction, the contents of the Prior Registration Statements are incorporated herein by reference and made part of this registration statement to the extent not modified or superseded hereby or by a subsequently filed document that is incorporated by reference herein or therein. In accordance with the instructional note to Part I of Form S-8, the information specified by Part I of Form S-8 has been omitted from this registration statement. The document(s) containing the information specified by Part I of Form S-8 will be sent or given to participants as specified by Securities Act Rule 428(b)(1).</w:t>
      </w:r>
    </w:p>
    <w:p>
      <w:pPr>
        <w:sectPr>
          <w:pgSz w:w="11900" w:h="16838" w:orient="portrait"/>
          <w:cols w:equalWidth="0" w:num="1">
            <w:col w:w="10880"/>
          </w:cols>
          <w:pgMar w:left="500" w:top="264" w:right="51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documents of the Company filed with the Commission are hereby incorporated by reference in this registration statement:</w:t>
      </w:r>
    </w:p>
    <w:p>
      <w:pPr>
        <w:spacing w:after="0" w:line="114" w:lineRule="exact"/>
        <w:rPr>
          <w:sz w:val="20"/>
          <w:szCs w:val="20"/>
          <w:color w:val="auto"/>
        </w:rPr>
      </w:pPr>
    </w:p>
    <w:p>
      <w:pPr>
        <w:ind w:right="360" w:firstLine="430"/>
        <w:spacing w:after="0" w:line="277"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fiscal year ended December 31, 2025 filed on </w:t>
      </w:r>
      <w:hyperlink r:id="rId23">
        <w:r>
          <w:rPr>
            <w:rFonts w:ascii="Times New Roman" w:cs="Times New Roman" w:eastAsia="Times New Roman" w:hAnsi="Times New Roman"/>
            <w:sz w:val="18"/>
            <w:szCs w:val="18"/>
            <w:u w:val="single" w:color="auto"/>
            <w:color w:val="0000EE"/>
          </w:rPr>
          <w:t>March 13,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Exchange Act of 1934, as amended (the “Exchange Act”);</w:t>
      </w:r>
    </w:p>
    <w:p>
      <w:pPr>
        <w:spacing w:after="0" w:line="163"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filed with the Commission on </w:t>
      </w:r>
      <w:hyperlink r:id="rId24">
        <w:r>
          <w:rPr>
            <w:rFonts w:ascii="Times New Roman" w:cs="Times New Roman" w:eastAsia="Times New Roman" w:hAnsi="Times New Roman"/>
            <w:sz w:val="18"/>
            <w:szCs w:val="18"/>
            <w:u w:val="single" w:color="auto"/>
            <w:color w:val="0000EE"/>
          </w:rPr>
          <w:t>May 8, 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August 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6">
        <w:r>
          <w:rPr>
            <w:rFonts w:ascii="Times New Roman" w:cs="Times New Roman" w:eastAsia="Times New Roman" w:hAnsi="Times New Roman"/>
            <w:sz w:val="18"/>
            <w:szCs w:val="18"/>
            <w:u w:val="single" w:color="auto"/>
            <w:color w:val="0000EE"/>
          </w:rPr>
          <w:t>November 6,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Commission on </w:t>
      </w:r>
      <w:hyperlink r:id="rId27">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May 13, 2026</w:t>
        </w:r>
      </w:hyperlink>
      <w:r>
        <w:rPr>
          <w:rFonts w:ascii="Times New Roman" w:cs="Times New Roman" w:eastAsia="Times New Roman" w:hAnsi="Times New Roman"/>
          <w:sz w:val="18"/>
          <w:szCs w:val="18"/>
          <w:color w:val="auto"/>
        </w:rPr>
        <w:t xml:space="preserve">, and </w:t>
      </w:r>
      <w:hyperlink r:id="rId29">
        <w:r>
          <w:rPr>
            <w:rFonts w:ascii="Times New Roman" w:cs="Times New Roman" w:eastAsia="Times New Roman" w:hAnsi="Times New Roman"/>
            <w:sz w:val="18"/>
            <w:szCs w:val="18"/>
            <w:u w:val="single" w:color="auto"/>
            <w:color w:val="0000EE"/>
          </w:rPr>
          <w:t>July 30,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Company pursuant to Section 13(a) or 15(d) of the Exchange Act since December 31, 2025; and</w:t>
      </w:r>
    </w:p>
    <w:p>
      <w:pPr>
        <w:spacing w:after="0" w:line="220" w:lineRule="exact"/>
        <w:rPr>
          <w:rFonts w:ascii="Times New Roman" w:cs="Times New Roman" w:eastAsia="Times New Roman" w:hAnsi="Times New Roman"/>
          <w:sz w:val="18"/>
          <w:szCs w:val="18"/>
          <w:color w:val="auto"/>
        </w:rPr>
      </w:pPr>
    </w:p>
    <w:p>
      <w:pPr>
        <w:ind w:firstLine="430"/>
        <w:spacing w:after="0" w:line="277"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3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fiscal year ended December 31, 2025 filed on March 13, 2026 under the Securities Exchange Act.</w:t>
      </w:r>
    </w:p>
    <w:p>
      <w:pPr>
        <w:spacing w:after="0" w:line="163" w:lineRule="exact"/>
        <w:rPr>
          <w:rFonts w:ascii="Times New Roman" w:cs="Times New Roman" w:eastAsia="Times New Roman" w:hAnsi="Times New Roman"/>
          <w:sz w:val="18"/>
          <w:szCs w:val="18"/>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all documents filed by the Company after the initial filing date of this registration statement pursuant to Sections 13(a), 13(c), 14 and 15(d) of the Exchange Act, and prior to the filing of a post-effective amendment which indicates that all shares registered hereunder have been sold or which deregisters all shares then remaining unsold, shall be deemed to be incorporated by reference in this registration statement and to be a part hereof from the date of</w:t>
      </w:r>
    </w:p>
    <w:p>
      <w:pPr>
        <w:sectPr>
          <w:pgSz w:w="11900" w:h="16838" w:orient="portrait"/>
          <w:cols w:equalWidth="0" w:num="1">
            <w:col w:w="10760"/>
          </w:cols>
          <w:pgMar w:left="500" w:top="264" w:right="639" w:bottom="1440" w:gutter="0" w:footer="0" w:header="0"/>
        </w:sectPr>
      </w:pPr>
    </w:p>
    <w:bookmarkStart w:id="3" w:name="page4"/>
    <w:bookmarkEnd w:id="3"/>
    <w:p>
      <w:pPr>
        <w:ind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00"/>
          </w:cols>
          <w:pgMar w:left="500" w:top="268" w:right="499" w:bottom="1440" w:gutter="0" w:footer="0" w:header="0"/>
        </w:sect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129" w:lineRule="exact"/>
        <w:rPr>
          <w:sz w:val="20"/>
          <w:szCs w:val="20"/>
          <w:color w:val="auto"/>
        </w:rPr>
      </w:pPr>
    </w:p>
    <w:p>
      <w:pPr>
        <w:sectPr>
          <w:pgSz w:w="11900" w:h="16838" w:orient="portrait"/>
          <w:cols w:equalWidth="0" w:num="2">
            <w:col w:w="520" w:space="440"/>
            <w:col w:w="9940"/>
          </w:cols>
          <w:pgMar w:left="500" w:top="268" w:right="49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00"/>
          </w:cols>
          <w:pgMar w:left="500" w:top="268" w:right="49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129" w:lineRule="exact"/>
        <w:rPr>
          <w:sz w:val="20"/>
          <w:szCs w:val="20"/>
          <w:color w:val="auto"/>
        </w:rPr>
      </w:pPr>
    </w:p>
    <w:p>
      <w:pPr>
        <w:sectPr>
          <w:pgSz w:w="11900" w:h="16838" w:orient="portrait"/>
          <w:cols w:equalWidth="0" w:num="2">
            <w:col w:w="520" w:space="440"/>
            <w:col w:w="9940"/>
          </w:cols>
          <w:pgMar w:left="500" w:top="268" w:right="49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00"/>
          </w:cols>
          <w:pgMar w:left="500" w:top="268" w:right="49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Officers and Directors</w:t>
      </w:r>
    </w:p>
    <w:p>
      <w:pPr>
        <w:spacing w:after="0" w:line="129" w:lineRule="exact"/>
        <w:rPr>
          <w:sz w:val="20"/>
          <w:szCs w:val="20"/>
          <w:color w:val="auto"/>
        </w:rPr>
      </w:pPr>
    </w:p>
    <w:p>
      <w:pPr>
        <w:sectPr>
          <w:pgSz w:w="11900" w:h="16838" w:orient="portrait"/>
          <w:cols w:equalWidth="0" w:num="2">
            <w:col w:w="520" w:space="440"/>
            <w:col w:w="9940"/>
          </w:cols>
          <w:pgMar w:left="500" w:top="268" w:right="499" w:bottom="1440" w:gutter="0" w:footer="0" w:header="0"/>
          <w:type w:val="continuous"/>
        </w:sect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Forrester’s Restated Certificate of Incorporation provides that Forrester’s directors shall not be liable to Forrester or its stockholders for monetary damages for breach of fiduciary duty as a director, except to the extent that the exculpation from liabilities is not permitted under the Delaware General Corporation Law as in effect at the time such liability is determined. The Restated Certificate of Incorporation also provides that Forrester shall indemnify its directors and officers to the full extent permitted by the laws of the State of Delaware. Forrester also maintains directors’ and officers’ liability insurance to insure its directors and certain officers against certain liabilities and expenses which arise out of or in connection with their capacities as directors and officers.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716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8000" w:type="dxa"/>
            <w:vAlign w:val="bottom"/>
            <w:gridSpan w:val="13"/>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16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200" w:type="dxa"/>
            <w:vAlign w:val="bottom"/>
          </w:tcPr>
          <w:p>
            <w:pPr>
              <w:spacing w:after="0"/>
              <w:rPr>
                <w:sz w:val="23"/>
                <w:szCs w:val="2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6"/>
        </w:trPr>
        <w:tc>
          <w:tcPr>
            <w:tcW w:w="8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20" w:type="dxa"/>
            <w:vAlign w:val="bottom"/>
            <w:gridSpan w:val="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vMerge w:val="restart"/>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Filing</w:t>
            </w: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3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7"/>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57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Specimen certificate representing the Common Stock of Forrester Research, Inc.</w:t>
              </w:r>
            </w:hyperlink>
          </w:p>
        </w:tc>
        <w:tc>
          <w:tcPr>
            <w:tcW w:w="142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11/5/96</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7160" w:type="dxa"/>
            <w:vAlign w:val="bottom"/>
            <w:gridSpan w:val="11"/>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Restated Certificate of Incorporation of Forrester Research, Inc.</w:t>
              </w:r>
            </w:hyperlink>
          </w:p>
        </w:tc>
        <w:tc>
          <w:tcPr>
            <w:tcW w:w="2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11/5/96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6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Certificate of Amendment of Certificate of Incorporation of Forrester Research, Inc.</w:t>
              </w:r>
            </w:hyperlink>
          </w:p>
        </w:tc>
        <w:tc>
          <w:tcPr>
            <w:tcW w:w="1160" w:type="dxa"/>
            <w:vAlign w:val="bottom"/>
          </w:tcPr>
          <w:p>
            <w:pPr>
              <w:spacing w:after="0"/>
              <w:rPr>
                <w:sz w:val="24"/>
                <w:szCs w:val="24"/>
                <w:color w:val="auto"/>
              </w:rPr>
            </w:pPr>
          </w:p>
        </w:tc>
        <w:tc>
          <w:tcPr>
            <w:tcW w:w="5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10-K</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3/10/00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6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Certificate of Amendment of Certificate of Incorporation of Forrester Research, Inc.</w:t>
              </w:r>
            </w:hyperlink>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5/25/17</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7160" w:type="dxa"/>
            <w:vAlign w:val="bottom"/>
            <w:gridSpan w:val="11"/>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Amended and Restated Bylaws of Forrester Research, Inc.</w:t>
              </w:r>
            </w:hyperlink>
          </w:p>
        </w:tc>
        <w:tc>
          <w:tcPr>
            <w:tcW w:w="5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10-K</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7"/>
              </w:rPr>
              <w:t>3.5</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3/10/23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21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Description of Common Stock</w:t>
              </w:r>
            </w:hyperlink>
          </w:p>
        </w:tc>
        <w:tc>
          <w:tcPr>
            <w:tcW w:w="1980" w:type="dxa"/>
            <w:vAlign w:val="bottom"/>
            <w:tcBorders>
              <w:top w:val="single" w:sz="8" w:color="0000EE"/>
            </w:tcBorders>
            <w:gridSpan w:val="4"/>
          </w:tcPr>
          <w:p>
            <w:pPr>
              <w:spacing w:after="0"/>
              <w:rPr>
                <w:sz w:val="24"/>
                <w:szCs w:val="24"/>
                <w:color w:val="auto"/>
              </w:rPr>
            </w:pPr>
          </w:p>
        </w:tc>
        <w:tc>
          <w:tcPr>
            <w:tcW w:w="3000" w:type="dxa"/>
            <w:vAlign w:val="bottom"/>
            <w:gridSpan w:val="5"/>
          </w:tcPr>
          <w:p>
            <w:pPr>
              <w:spacing w:after="0"/>
              <w:rPr>
                <w:sz w:val="24"/>
                <w:szCs w:val="24"/>
                <w:color w:val="auto"/>
              </w:rPr>
            </w:pPr>
          </w:p>
        </w:tc>
        <w:tc>
          <w:tcPr>
            <w:tcW w:w="5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10-K</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7"/>
              </w:rPr>
              <w:t>4.2</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3/13/20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Choate, Hall &amp; Stewart LLP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in the signature page hereto)</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99.1</w:t>
            </w:r>
          </w:p>
        </w:tc>
        <w:tc>
          <w:tcPr>
            <w:tcW w:w="5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Forrester Research Inc. Amended and Restated Employee Stock Purchase Plan</w:t>
              </w:r>
            </w:hyperlink>
          </w:p>
        </w:tc>
        <w:tc>
          <w:tcPr>
            <w:tcW w:w="15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5"/>
              </w:rPr>
              <w:t>10.1</w:t>
            </w:r>
          </w:p>
        </w:tc>
        <w:tc>
          <w:tcPr>
            <w:tcW w:w="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5/13/26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380" w:type="dxa"/>
            <w:vAlign w:val="bottom"/>
          </w:tcPr>
          <w:p>
            <w:pPr>
              <w:spacing w:after="0"/>
              <w:rPr>
                <w:sz w:val="24"/>
                <w:szCs w:val="24"/>
                <w:color w:val="auto"/>
              </w:rPr>
            </w:pPr>
          </w:p>
        </w:tc>
        <w:tc>
          <w:tcPr>
            <w:tcW w:w="1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Filing Fee Table</w:t>
            </w:r>
          </w:p>
        </w:tc>
        <w:tc>
          <w:tcPr>
            <w:tcW w:w="600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The Company hereby undertakes:</w:t>
      </w:r>
    </w:p>
    <w:p>
      <w:pPr>
        <w:spacing w:after="0" w:line="114" w:lineRule="exact"/>
        <w:rPr>
          <w:sz w:val="20"/>
          <w:szCs w:val="20"/>
          <w:color w:val="auto"/>
        </w:rPr>
      </w:pPr>
    </w:p>
    <w:p>
      <w:pPr>
        <w:ind w:right="760" w:firstLine="430"/>
        <w:spacing w:after="0" w:line="277" w:lineRule="auto"/>
        <w:tabs>
          <w:tab w:leader="none" w:pos="6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of the securities offered hereby are being made, a post-effective amendment to this registration statement:</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w:t>
      </w:r>
    </w:p>
    <w:p>
      <w:pPr>
        <w:sectPr>
          <w:pgSz w:w="11900" w:h="16838" w:orient="portrait"/>
          <w:cols w:equalWidth="0" w:num="1">
            <w:col w:w="10900"/>
          </w:cols>
          <w:pgMar w:left="500" w:top="268" w:right="499" w:bottom="1440" w:gutter="0" w:footer="0" w:header="0"/>
          <w:type w:val="continuous"/>
        </w:sectPr>
      </w:pPr>
    </w:p>
    <w:bookmarkStart w:id="4" w:name="page5"/>
    <w:bookmarkEnd w:id="4"/>
    <w:p>
      <w:pPr>
        <w:ind w:left="-430" w:right="140" w:firstLine="430"/>
        <w:spacing w:after="0" w:line="271" w:lineRule="auto"/>
        <w:tabs>
          <w:tab w:leader="none" w:pos="26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1" w:lineRule="exact"/>
        <w:rPr>
          <w:rFonts w:ascii="Times New Roman" w:cs="Times New Roman" w:eastAsia="Times New Roman" w:hAnsi="Times New Roman"/>
          <w:sz w:val="17"/>
          <w:szCs w:val="17"/>
          <w:color w:val="auto"/>
        </w:rPr>
      </w:pPr>
    </w:p>
    <w:p>
      <w:pPr>
        <w:ind w:left="-430" w:right="440" w:firstLine="430"/>
        <w:spacing w:after="0" w:line="277" w:lineRule="auto"/>
        <w:tabs>
          <w:tab w:leader="none" w:pos="3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left="-430" w:right="120" w:firstLine="430"/>
        <w:spacing w:after="0" w:line="262"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430" w:right="600" w:firstLine="430"/>
        <w:spacing w:after="0" w:line="277"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ind w:left="-430" w:right="100" w:firstLine="430"/>
        <w:spacing w:after="0" w:line="257"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undertakes that, for purposes of determining any liability under the Securities Act, each filing of the Company’s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ind w:left="-430" w:firstLine="430"/>
        <w:spacing w:after="0" w:line="252"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430"/>
          </w:cols>
          <w:pgMar w:left="930" w:top="268" w:right="539" w:bottom="1440" w:gutter="0" w:footer="0" w:header="0"/>
        </w:sectPr>
      </w:pPr>
    </w:p>
    <w:bookmarkStart w:id="5" w:name="page6"/>
    <w:bookmarkEnd w:id="5"/>
    <w:p>
      <w:pPr>
        <w:jc w:val="both"/>
        <w:ind w:right="6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Pursuant to the requirements of the Securities Act of 1933, the Company certifies that it has reasonable grounds to believe that it meets all of the requirements for filing a Form S-8 and has duly caused this Registration Statement to be signed on its behalf by the undersigned, thereunto duly authorized, in the City of Cambridge, Commonwealth of Massachusetts on November 6,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George Colony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15875</wp:posOffset>
            </wp:positionV>
            <wp:extent cx="2570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George F. Colony</w:t>
      </w:r>
    </w:p>
    <w:p>
      <w:pPr>
        <w:spacing w:after="0" w:line="2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George F. Colony, L. Christian Finn and Ryan Darrah, jointly and severally, his or her true and lawful attorneys-in-fact and agents with full powers of substitution, for him or her and in his or her name, place and stead, in any and all capacities, to sign any and all supplements,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thereof.</w:t>
      </w:r>
    </w:p>
    <w:p>
      <w:pPr>
        <w:spacing w:after="0" w:line="185"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on the dates indicated by the following persons in the capacities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In Which Signed</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George F. Colony</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George F. Colony</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 Christian Finn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 Christian Finn</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R. Chouinard</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Accounting Officer and Treasurer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R. Chouinard</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P. Bennett</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P. Bennett</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Anthony J. Friscia</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J. Friscia</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Cory Munchbach</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Cory Munchbach</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Warren Romine</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Warren Romine</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0900"/>
          </w:cols>
          <w:pgMar w:left="500" w:top="268"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356995" cy="441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1356995"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Acorn Park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02140</w:t>
      </w: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delivered to you 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by Forrester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the date hereof with the Securities and Exchange Commission under the Securities Act of 1933, as amended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for registration under the Securities Act of 450,000 additional shares of the Company’s common stock, $0.01 par value per share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pursuant to the Forrester Research, Inc. Amended and Restated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examined the Restated Certificate of Incorporation of the Company (including Certificates of Amendment thereto), the corporate minute books, the Amended and Restated By-Laws of the Company, the Plan and the Registration Statement. We have also examined such other documents, records and certificates and made such further investigation as we have deemed necessary for the purposes of this opinion and have assumed, without independent inquiry, the accuracy of these documents. In that examination, we have assumed the genuineness of all signatures, the conformity to the originals of all documents reviewed as copies, the authenticity and completeness of all original documents reviewed in original form and the legal competence of each individual executing such documents.</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to be sold by the Company under the Plan, as in effect on the date hereof, when issued in accordance with the terms of the Plan will be legally issued, fully paid and nonassessable.</w:t>
      </w:r>
    </w:p>
    <w:p>
      <w:pPr>
        <w:spacing w:after="0" w:line="16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We understand that this opinion is to be used in connection with the Registration Statement and consent to the filing of this opinion as an exhibit to the Registration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Choate, Hall &amp; Stewart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CHOATE, HALL &amp; STEWART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5157470" cy="593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5157470" cy="593725"/>
                    </a:xfrm>
                    <a:prstGeom prst="rect">
                      <a:avLst/>
                    </a:prstGeom>
                    <a:noFill/>
                  </pic:spPr>
                </pic:pic>
              </a:graphicData>
            </a:graphic>
          </wp:anchor>
        </w:drawing>
      </w:r>
    </w:p>
    <w:p>
      <w:pPr>
        <w:sectPr>
          <w:pgSz w:w="11900" w:h="16838" w:orient="portrait"/>
          <w:cols w:equalWidth="0" w:num="1">
            <w:col w:w="10900"/>
          </w:cols>
          <w:pgMar w:left="500" w:top="117"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ind w:right="70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Forrester Research, Inc. of our report dated March 13, 2026 relating to the financial statements and the effectiveness of internal control over financial reporting, which appears in Forrester Research, Inc.’s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1645285" cy="508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1645285" cy="50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FORRESTER RESEARCH,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4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920" w:type="dxa"/>
            <w:vAlign w:val="bottom"/>
            <w:shd w:val="clear" w:color="auto" w:fill="9ADAF6"/>
          </w:tcPr>
          <w:p>
            <w:pP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ind w:left="60"/>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450,000</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$ 9.56</w:t>
            </w:r>
          </w:p>
        </w:tc>
        <w:tc>
          <w:tcPr>
            <w:tcW w:w="20" w:type="dxa"/>
            <w:vAlign w:val="bottom"/>
          </w:tcPr>
          <w:p>
            <w:pPr>
              <w:spacing w:after="0"/>
              <w:rPr>
                <w:sz w:val="20"/>
                <w:szCs w:val="20"/>
                <w:color w:val="auto"/>
              </w:rPr>
            </w:pPr>
          </w:p>
        </w:tc>
        <w:tc>
          <w:tcPr>
            <w:tcW w:w="1520" w:type="dxa"/>
            <w:vAlign w:val="bottom"/>
            <w:shd w:val="clear" w:color="auto" w:fill="E7E7E2"/>
          </w:tcPr>
          <w:p>
            <w:pPr>
              <w:ind w:left="80"/>
              <w:spacing w:after="0" w:line="240" w:lineRule="exact"/>
              <w:rPr>
                <w:sz w:val="20"/>
                <w:szCs w:val="20"/>
                <w:color w:val="auto"/>
              </w:rPr>
            </w:pPr>
            <w:r>
              <w:rPr>
                <w:rFonts w:ascii="Arial" w:cs="Arial" w:eastAsia="Arial" w:hAnsi="Arial"/>
                <w:sz w:val="21"/>
                <w:szCs w:val="21"/>
                <w:color w:val="auto"/>
              </w:rPr>
              <w:t>$ 4,302,000.00</w:t>
            </w: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0.000087</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$ 374.27</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 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21"/>
                <w:szCs w:val="21"/>
                <w:color w:val="auto"/>
              </w:rPr>
              <w:t>$ 4,302,000.00</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$ 374.27</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$ 374.27</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80" w:hanging="225"/>
        <w:spacing w:after="0" w:line="235" w:lineRule="auto"/>
        <w:tabs>
          <w:tab w:leader="none" w:pos="800" w:val="left"/>
        </w:tabs>
        <w:numPr>
          <w:ilvl w:val="0"/>
          <w:numId w:val="7"/>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promulgated under the Securities Act of 1933, as amended (the "Securities Act"), this Registration Statement shall also cover any additional shares of Registrant's common stock that become issuable under the Registrant's Amended and Restated Equity Incentive Plan by reason of any stock dividend, stock split, recapitalization, or other similar transaction effected that results in an increase to the number of outstanding shares of Registrant's common stock, as applicable. (2) Estimated in accordance with Rule 457(c) and (h) solely for the purpose of calculating the registration fee on the basis of $9.56 per share of common stock, the average of the high and low prices of the Registrant's common stock as reported on The Nasdaq Global Select Market on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83185</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8"/>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31"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jpeg"/><Relationship Id="rId41" Type="http://schemas.openxmlformats.org/officeDocument/2006/relationships/image" Target="media/image16.jpeg"/><Relationship Id="rId42" Type="http://schemas.openxmlformats.org/officeDocument/2006/relationships/image" Target="media/image17.jpeg"/><Relationship Id="rId43" Type="http://schemas.openxmlformats.org/officeDocument/2006/relationships/image" Target="media/image18.png"/><Relationship Id="rId44" Type="http://schemas.openxmlformats.org/officeDocument/2006/relationships/image" Target="media/image19.png"/><Relationship Id="rId17" Type="http://schemas.openxmlformats.org/officeDocument/2006/relationships/hyperlink" Target="http://www.sec.gov/Archives/edgar/data/1023313/0000950135-96-005127.txt" TargetMode="External"/><Relationship Id="rId18" Type="http://schemas.openxmlformats.org/officeDocument/2006/relationships/hyperlink" Target="http://www.sec.gov/Archives/edgar/data/1023313/000095013502004234/b44191ppsv8.txt" TargetMode="External"/><Relationship Id="rId19" Type="http://schemas.openxmlformats.org/officeDocument/2006/relationships/hyperlink" Target="http://www.sec.gov/Archives/edgar/data/1023313/000095013509004350/b75689s8sv8.htm" TargetMode="External"/><Relationship Id="rId20" Type="http://schemas.openxmlformats.org/officeDocument/2006/relationships/hyperlink" Target="http://www.sec.gov/Archives/edgar/data/1023313/000119312518200893/d803066ds8.htm" TargetMode="External"/><Relationship Id="rId21" Type="http://schemas.openxmlformats.org/officeDocument/2006/relationships/hyperlink" Target="http://www.sec.gov/Archives/edgar/data/1023313/000119312522160997/d323303ds8.htm" TargetMode="External"/><Relationship Id="rId23" Type="http://schemas.openxmlformats.org/officeDocument/2006/relationships/hyperlink" Target="http://www.sec.gov/ix?doc=/Archives/edgar/data/1023313/000119312526105114/forr-20251231.htm" TargetMode="External"/><Relationship Id="rId24" Type="http://schemas.openxmlformats.org/officeDocument/2006/relationships/hyperlink" Target="http://www.sec.gov/ix?doc=/Archives/edgar/data/1023313/000119312526213464/forr-20260331.htm" TargetMode="External"/><Relationship Id="rId25" Type="http://schemas.openxmlformats.org/officeDocument/2006/relationships/hyperlink" Target="http://www.sec.gov/ix?doc=/Archives/edgar/data/1023313/000119312526336932/forr-20260630.htm" TargetMode="External"/><Relationship Id="rId26" Type="http://schemas.openxmlformats.org/officeDocument/2006/relationships/hyperlink" Target="http://www.sec.gov/ix?doc=/Archives/edgar/data/1023313/000119312526450853/forr-20260930.htm" TargetMode="External"/><Relationship Id="rId27" Type="http://schemas.openxmlformats.org/officeDocument/2006/relationships/hyperlink" Target="http://www.sec.gov/ix?doc=/Archives/edgar/data/1023313/000095017025017877/forr-20250207.htm" TargetMode="External"/><Relationship Id="rId28" Type="http://schemas.openxmlformats.org/officeDocument/2006/relationships/hyperlink" Target="http://www.sec.gov/ix?doc=/Archives/edgar/data/1023313/000095017025071464/forr-20250513.htm" TargetMode="External"/><Relationship Id="rId29" Type="http://schemas.openxmlformats.org/officeDocument/2006/relationships/hyperlink" Target="http://www.sec.gov/ix?doc=/Archives/edgar/data/1023313/000095017025100883/forr-20250731.htm" TargetMode="External"/><Relationship Id="rId30" Type="http://schemas.openxmlformats.org/officeDocument/2006/relationships/hyperlink" Target="http://www.sec.gov/Archives/edgar/data/1023313/000156459020010647/forr-ex42_207.htm" TargetMode="External"/><Relationship Id="rId32" Type="http://schemas.openxmlformats.org/officeDocument/2006/relationships/hyperlink" Target="http://www.sec.gov/Archives/edgar/data/1023313/0000950135-96-004663.txt" TargetMode="External"/><Relationship Id="rId33" Type="http://schemas.openxmlformats.org/officeDocument/2006/relationships/hyperlink" Target="http://www.sec.gov/Archives/edgar/data/1023313/000095013500001340/0000950135-00-001340.txt" TargetMode="External"/><Relationship Id="rId34" Type="http://schemas.openxmlformats.org/officeDocument/2006/relationships/hyperlink" Target="http://www.sec.gov/Archives/edgar/data/1023313/000119312517183027/d402162dex31.htm" TargetMode="External"/><Relationship Id="rId35" Type="http://schemas.openxmlformats.org/officeDocument/2006/relationships/hyperlink" Target="http://www.sec.gov/Archives/edgar/data/1023313/000095017023007151/forr-ex3_5.htm" TargetMode="External"/><Relationship Id="rId36" Type="http://schemas.openxmlformats.org/officeDocument/2006/relationships/hyperlink" Target="http://www.sec.gov/Archives/edgar/data/1023313/000119312526221590/forr-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2026-11-06T16:15:55Z</dcterms:created>
  <dcterms:modified xsi:type="dcterms:W3CDTF">2026-11-06T16:15:55Z</dcterms:modified>
</cp:coreProperties>
</file>