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3, 2008</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2"/>
          <w:szCs w:val="42"/>
          <w:b w:val="1"/>
          <w:bCs w:val="1"/>
          <w:color w:val="auto"/>
        </w:rPr>
        <w:t>FORRESTER RESEARCH, INC.</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40"/>
        <w:spacing w:after="0"/>
        <w:rPr>
          <w:sz w:val="20"/>
          <w:szCs w:val="20"/>
          <w:color w:val="auto"/>
        </w:rPr>
      </w:pPr>
      <w:r>
        <w:rPr>
          <w:rFonts w:ascii="Arial" w:cs="Arial" w:eastAsia="Arial" w:hAnsi="Arial"/>
          <w:sz w:val="18"/>
          <w:szCs w:val="18"/>
          <w:b w:val="1"/>
          <w:bCs w:val="1"/>
          <w:color w:val="auto"/>
        </w:rPr>
        <w:t>000-21433</w:t>
      </w:r>
    </w:p>
    <w:p>
      <w:pPr>
        <w:spacing w:after="0" w:line="27"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04-2797789</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Identification Number)</w:t>
      </w:r>
    </w:p>
    <w:p>
      <w:pPr>
        <w:spacing w:after="0" w:line="222" w:lineRule="exact"/>
        <w:rPr>
          <w:sz w:val="20"/>
          <w:szCs w:val="20"/>
          <w:color w:val="auto"/>
        </w:rPr>
      </w:pPr>
    </w:p>
    <w:p>
      <w:pPr>
        <w:sectPr>
          <w:pgSz w:w="11900" w:h="16838" w:orient="portrait"/>
          <w:cols w:equalWidth="0" w:num="3">
            <w:col w:w="4020" w:space="720"/>
            <w:col w:w="3420" w:space="720"/>
            <w:col w:w="2420"/>
          </w:cols>
          <w:pgMar w:left="240" w:top="122" w:right="359" w:bottom="1440" w:gutter="0" w:footer="0" w:header="0"/>
          <w:type w:val="continuous"/>
        </w:sectPr>
      </w:pP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400 Technology Square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(617) 613-6000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300"/>
          </w:cols>
          <w:pgMar w:left="240" w:top="122" w:right="359" w:bottom="1440" w:gutter="0" w:footer="0" w:header="0"/>
          <w:type w:val="continuous"/>
        </w:sect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Changes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-130810</wp:posOffset>
            </wp:positionV>
            <wp:extent cx="2975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8"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September 3, 2008, Forrester Research, Inc. (“Forrester”) received a “Wells Notice” from the Securities and Exchange Commission (“SEC”) in connection with the previously disclosed ongoing SEC investigation into Forrester’s historical stock option granting practices. The Wells Notice notifies Forrester that the staff of the SEC (“Staff”) intends to recommend that the SEC file a civil action against Forrester for possible violations of the securities laws. Under the process established by the SEC, recipients have the opportunity to respond in writing (“Wells Submission”) to a Wells Notice before the Staff makes any formal recommendation to the Commission regarding what action, if any, should be brought by the SEC. In connection with the contemplated recommendation, the Staff may seek remedies, including among other things, a permanent injunction and a civil penalty. Forrester intends to provide a Wells Submission to the SEC. There can be no assurance that the SEC will not bring civil enforcement action against Forrester.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FORRESTER RESEARCH, INC.</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Gail S. Mann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Gail S.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69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Chief Legal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2008</w:t>
      </w:r>
    </w:p>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sectPr>
      <w:pgSz w:w="11900" w:h="16838" w:orient="portrait"/>
      <w:cols w:equalWidth="0" w:num="1">
        <w:col w:w="10520"/>
      </w:cols>
      <w:pgMar w:left="240" w:top="419"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2019-12-14T11:41:00Z</dcterms:created>
  <dcterms:modified xsi:type="dcterms:W3CDTF">2019-12-14T11:41:00Z</dcterms:modified>
</cp:coreProperties>
</file>