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BRADFORD NEIL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FORRESTER RESEARCH,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60 ACORN PARK DR.</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FORRESTER RESEARCH,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FORR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8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37"/>
              <w:spacing w:after="0" w:line="320" w:lineRule="exact"/>
              <w:rPr>
                <w:sz w:val="20"/>
                <w:szCs w:val="20"/>
                <w:color w:val="auto"/>
              </w:rPr>
            </w:pPr>
            <w:r>
              <w:rPr>
                <w:rFonts w:ascii="Times New Roman" w:cs="Times New Roman" w:eastAsia="Times New Roman" w:hAnsi="Times New Roman"/>
                <w:sz w:val="34"/>
                <w:szCs w:val="34"/>
                <w:color w:val="0000FF"/>
                <w:vertAlign w:val="subscript"/>
              </w:rPr>
              <w:t>166</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30,393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8,000</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38,393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upon the vesting on June 1, 2025 of the restricted stock units awarded to the reporting person on June 1, 2024. The award includes a provision for the withholding of shares by the Issuer to satisfy withholding taxes due as a result of the vesting of the award.</w:t>
      </w:r>
    </w:p>
    <w:p>
      <w:pPr>
        <w:spacing w:after="0" w:line="7" w:lineRule="exact"/>
        <w:rPr>
          <w:rFonts w:ascii="Times New Roman" w:cs="Times New Roman" w:eastAsia="Times New Roman" w:hAnsi="Times New Roman"/>
          <w:sz w:val="13"/>
          <w:szCs w:val="13"/>
          <w:color w:val="008000"/>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on June 2, 2025 are in the form of Restricted Stock Units issued pursuant to the Forrester Research, Inc. Amended and Restated Equity Incentive Plan that entitle the reporting person, upon vesting, to receive one share of common stock per Restricted Stock Unit. The Restricted Stock Units will vest and convert into common stock in four equal and consecutive installments. The first tranche will vest on September 1, 2025, with an equal number of shares vesting on each of December 1, 2025 and March 1, 2026, and the balance of the shares vesting on June 1, 2026.</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Maite Garcia, attorney-in-fact  </w:t>
      </w:r>
      <w:r>
        <w:rPr>
          <w:rFonts w:ascii="Times New Roman" w:cs="Times New Roman" w:eastAsia="Times New Roman" w:hAnsi="Times New Roman"/>
          <w:sz w:val="33"/>
          <w:szCs w:val="33"/>
          <w:color w:val="0000FF"/>
          <w:vertAlign w:val="subscript"/>
        </w:rPr>
        <w:t>06/03/2025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Neil Bradford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69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96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6313" TargetMode="External"/><Relationship Id="rId14" Type="http://schemas.openxmlformats.org/officeDocument/2006/relationships/hyperlink" Target="http://www.sec.gov/cgi-bin/browse-edgar?action=getcompany&amp;CIK=000102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2025-06-03T13:55:44Z</dcterms:created>
  <dcterms:modified xsi:type="dcterms:W3CDTF">2025-06-03T13:55:44Z</dcterms:modified>
</cp:coreProperties>
</file>