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Leaver Sharyn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FORRESTER RESEARCH,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ACORN PARK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FORRESTER RESEARCH, INC.</w:t>
              </w:r>
            </w:hyperlink>
            <w:r>
              <w:rPr/>
              <w:t xml:space="preserve"> [ </w:t>
            </w:r>
            <w:r>
              <w:rPr>
                <w:rFonts w:ascii="Times;serif" w:hAnsi="Times;serif"/>
                <w:color w:val="0000FF"/>
                <w:sz w:val="24"/>
                <w:shd w:fill="FFFFFF" w:val="clear"/>
              </w:rPr>
              <w:t>FORR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Research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10,451</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31,760</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2,956</w:t>
            </w:r>
            <w:r>
              <w:rPr>
                <w:rFonts w:ascii="Times;serif" w:hAnsi="Times;serif"/>
                <w:color w:val="008000"/>
                <w:position w:val="7"/>
                <w:sz w:val="16"/>
                <w:sz w:val="20"/>
                <w:shd w:fill="FFFFFF" w:val="clear"/>
              </w:rPr>
              <w:t>(2)</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5.39</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28,804</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2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606"/>
        <w:gridCol w:w="906"/>
        <w:gridCol w:w="801"/>
        <w:gridCol w:w="891"/>
        <w:gridCol w:w="801"/>
        <w:gridCol w:w="801"/>
        <w:gridCol w:w="936"/>
        <w:gridCol w:w="831"/>
        <w:gridCol w:w="846"/>
      </w:tblGrid>
      <w:tr>
        <w:trPr>
          <w:tblHeader w:val="true"/>
        </w:trPr>
        <w:tc>
          <w:tcPr>
            <w:tcW w:w="125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1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4,201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8,400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6,250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18,750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conversion, upon vesting, of restricted stock units into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by the Issuer to satisfy tax withholding obligations upon the vesting on April 1, 2026 of the restricted stock units awarded to the reporting person on April 1, 2024 and April 1, 2025. The awards include a provision for the withholding of shares by the Issuer to satisfy withholding taxes due as a result of the vesting of the awards.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represents the right to receive, following vesting, one share of Forrester Research,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April 1, 2024, the reporting person was granted 16,802 Restricted Stock Units that vest and convert into common stock in four equal and consecutive installments beginning on the first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April 1, 2025, the reporting person was granted 25,000 Restricted Stock Units that vest and convert into common stock in four equal and consecutive installments beginning on the first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 April 1, 2026, the reporting person was granted 30,000 Restricted Stock Units that vest and convert into common stock in four equal and consecutive installments beginning on the first anniversary of the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Maite Garcia, attorney-in-fact for Sharyn Leaver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6010" TargetMode="External"/><Relationship Id="rId5" Type="http://schemas.openxmlformats.org/officeDocument/2006/relationships/hyperlink" Target="http://www.sec.gov/cgi-bin/browse-edgar?action=getcompany&amp;CIK=000102331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824</Words>
  <Characters>4392</Characters>
  <CharactersWithSpaces>5121</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