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Chouinard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FORRESTER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ACORN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FORRESTER RESEARCH, INC.</w:t>
              </w:r>
            </w:hyperlink>
            <w:r>
              <w:rPr/>
              <w:t xml:space="preserve"> [ </w:t>
            </w:r>
            <w:r>
              <w:rPr>
                <w:rFonts w:ascii="Times;serif" w:hAnsi="Times;serif"/>
                <w:color w:val="0000FF"/>
                <w:sz w:val="24"/>
                <w:shd w:fill="FFFFFF" w:val="clear"/>
              </w:rPr>
              <w:t>FORR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271</w:t>
            </w:r>
            <w:r>
              <w:rPr>
                <w:rFonts w:ascii="Times;serif" w:hAnsi="Times;serif"/>
                <w:color w:val="008000"/>
                <w:position w:val="7"/>
                <w:sz w:val="16"/>
                <w:sz w:val="20"/>
                <w:shd w:fill="FFFFFF" w:val="clear"/>
              </w:rPr>
              <w:t>(2)</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15,264</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restricted stock units into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upon the vesting on August 1, 2026 of the restricted stock units awarded to the reporting person on August 1, 2023. The award includes a provision for the withholding of shares by the Issuer to satisfy withholding taxes due as a result of the vesting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is the equivalent of one share of Forrester Research,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1, 2023, the reporting person was granted 3,702 Restricted Stock Units that vest and convert into common stock in four equal and consecutive installments beginning on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Maite Garcia, attorney-in-fact for Scott Chouinard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137" TargetMode="External"/><Relationship Id="rId5" Type="http://schemas.openxmlformats.org/officeDocument/2006/relationships/hyperlink" Target="http://www.sec.gov/cgi-bin/browse-edgar?action=getcompany&amp;CIK=0001023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3875</Characters>
  <CharactersWithSpaces>4504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