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Favre Christophe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FORRESTER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ACORN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FORRESTER RESEARCH, INC.</w:t>
              </w:r>
            </w:hyperlink>
            <w:r>
              <w:rPr/>
              <w:t xml:space="preserve"> [ </w:t>
            </w:r>
            <w:r>
              <w:rPr>
                <w:rFonts w:ascii="Times;serif" w:hAnsi="Times;serif"/>
                <w:color w:val="0000FF"/>
                <w:sz w:val="24"/>
                <w:shd w:fill="FFFFFF" w:val="clear"/>
              </w:rPr>
              <w:t>FORR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14,372</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301</w:t>
            </w:r>
            <w:r>
              <w:rPr>
                <w:rFonts w:ascii="Times;serif" w:hAnsi="Times;serif"/>
                <w:color w:val="008000"/>
                <w:position w:val="7"/>
                <w:sz w:val="16"/>
                <w:sz w:val="20"/>
                <w:shd w:fill="FFFFFF" w:val="clear"/>
              </w:rPr>
              <w:t>(2)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14,071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restricted stock units into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August 1, 2026 of the restricted stock units awarded to the reporting person on August 1, 2023. The award includes a provision for the withholding of shares by the Issuer to satisfy withholding taxes due as a result of the vesting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the right to receive, following vesting, one share of Forrester Research,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1, 2023, the reporting person was granted 2,536 Restricted Stock Units that vest and convert into common stock in four equal and consecutive installments on each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Maite Garcia, attorney-in-fact for Christophe Favre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0303" TargetMode="External"/><Relationship Id="rId5" Type="http://schemas.openxmlformats.org/officeDocument/2006/relationships/hyperlink" Target="http://www.sec.gov/cgi-bin/browse-edgar?action=getcompany&amp;CIK=0001023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3787</Characters>
  <CharactersWithSpaces>4401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