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19"/>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286385</wp:posOffset>
            </wp:positionH>
            <wp:positionV relativeFrom="page">
              <wp:posOffset>166370</wp:posOffset>
            </wp:positionV>
            <wp:extent cx="699770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7700" cy="8890"/>
                    </a:xfrm>
                    <a:prstGeom prst="rect">
                      <a:avLst/>
                    </a:prstGeom>
                    <a:noFill/>
                  </pic:spPr>
                </pic:pic>
              </a:graphicData>
            </a:graphic>
          </wp:anchor>
        </w:drawing>
        <w:drawing>
          <wp:anchor simplePos="0" relativeHeight="251657728" behindDoc="1" locked="0" layoutInCell="0" allowOverlap="1">
            <wp:simplePos x="0" y="0"/>
            <wp:positionH relativeFrom="page">
              <wp:posOffset>286385</wp:posOffset>
            </wp:positionH>
            <wp:positionV relativeFrom="page">
              <wp:posOffset>208915</wp:posOffset>
            </wp:positionV>
            <wp:extent cx="699770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7700" cy="8890"/>
                    </a:xfrm>
                    <a:prstGeom prst="rect">
                      <a:avLst/>
                    </a:prstGeom>
                    <a:noFill/>
                  </pic:spPr>
                </pic:pic>
              </a:graphicData>
            </a:graphic>
          </wp:anchor>
        </w:drawing>
        <w:t>SECURITIES AND EXCHANGE COMMISSION</w:t>
      </w:r>
    </w:p>
    <w:p>
      <w:pPr>
        <w:spacing w:after="0" w:line="34" w:lineRule="exact"/>
        <w:rPr>
          <w:sz w:val="24"/>
          <w:szCs w:val="24"/>
          <w:color w:val="auto"/>
        </w:rPr>
      </w:pPr>
    </w:p>
    <w:p>
      <w:pPr>
        <w:jc w:val="center"/>
        <w:ind w:right="-119"/>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2767965</wp:posOffset>
            </wp:positionH>
            <wp:positionV relativeFrom="paragraph">
              <wp:posOffset>227330</wp:posOffset>
            </wp:positionV>
            <wp:extent cx="146621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66215" cy="8890"/>
                    </a:xfrm>
                    <a:prstGeom prst="rect">
                      <a:avLst/>
                    </a:prstGeom>
                    <a:noFill/>
                  </pic:spPr>
                </pic:pic>
              </a:graphicData>
            </a:graphic>
          </wp:anchor>
        </w:drawing>
      </w:r>
    </w:p>
    <w:p>
      <w:pPr>
        <w:spacing w:after="0" w:line="200" w:lineRule="exact"/>
        <w:rPr>
          <w:sz w:val="24"/>
          <w:szCs w:val="24"/>
          <w:color w:val="auto"/>
        </w:rPr>
      </w:pPr>
    </w:p>
    <w:p>
      <w:pPr>
        <w:spacing w:after="0" w:line="327" w:lineRule="exact"/>
        <w:rPr>
          <w:sz w:val="24"/>
          <w:szCs w:val="24"/>
          <w:color w:val="auto"/>
        </w:rPr>
      </w:pPr>
    </w:p>
    <w:p>
      <w:pPr>
        <w:jc w:val="center"/>
        <w:ind w:right="-119"/>
        <w:spacing w:after="0"/>
        <w:rPr>
          <w:sz w:val="20"/>
          <w:szCs w:val="20"/>
          <w:color w:val="auto"/>
        </w:rPr>
      </w:pPr>
      <w:r>
        <w:rPr>
          <w:rFonts w:ascii="Arial" w:cs="Arial" w:eastAsia="Arial" w:hAnsi="Arial"/>
          <w:sz w:val="32"/>
          <w:szCs w:val="32"/>
          <w:b w:val="1"/>
          <w:bCs w:val="1"/>
          <w:color w:val="auto"/>
        </w:rPr>
        <w:t>FORM 8-K/A</w:t>
      </w:r>
    </w:p>
    <w:p>
      <w:pPr>
        <w:spacing w:after="0" w:line="34" w:lineRule="exact"/>
        <w:rPr>
          <w:sz w:val="24"/>
          <w:szCs w:val="24"/>
          <w:color w:val="auto"/>
        </w:rPr>
      </w:pPr>
    </w:p>
    <w:p>
      <w:pPr>
        <w:jc w:val="center"/>
        <w:ind w:right="-119"/>
        <w:spacing w:after="0"/>
        <w:rPr>
          <w:sz w:val="20"/>
          <w:szCs w:val="20"/>
          <w:color w:val="auto"/>
        </w:rPr>
      </w:pPr>
      <w:r>
        <w:rPr>
          <w:rFonts w:ascii="Arial" w:cs="Arial" w:eastAsia="Arial" w:hAnsi="Arial"/>
          <w:sz w:val="22"/>
          <w:szCs w:val="22"/>
          <w:b w:val="1"/>
          <w:bCs w:val="1"/>
          <w:color w:val="auto"/>
        </w:rPr>
        <w:t>(Amendment No. 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2767965</wp:posOffset>
            </wp:positionH>
            <wp:positionV relativeFrom="paragraph">
              <wp:posOffset>219075</wp:posOffset>
            </wp:positionV>
            <wp:extent cx="146621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66215" cy="8890"/>
                    </a:xfrm>
                    <a:prstGeom prst="rect">
                      <a:avLst/>
                    </a:prstGeom>
                    <a:noFill/>
                  </pic:spPr>
                </pic:pic>
              </a:graphicData>
            </a:graphic>
          </wp:anchor>
        </w:drawing>
      </w:r>
    </w:p>
    <w:p>
      <w:pPr>
        <w:spacing w:after="0" w:line="200" w:lineRule="exact"/>
        <w:rPr>
          <w:sz w:val="24"/>
          <w:szCs w:val="24"/>
          <w:color w:val="auto"/>
        </w:rPr>
      </w:pPr>
    </w:p>
    <w:p>
      <w:pPr>
        <w:spacing w:after="0" w:line="327" w:lineRule="exact"/>
        <w:rPr>
          <w:sz w:val="24"/>
          <w:szCs w:val="24"/>
          <w:color w:val="auto"/>
        </w:rPr>
      </w:pPr>
    </w:p>
    <w:p>
      <w:pPr>
        <w:jc w:val="center"/>
        <w:ind w:right="-119"/>
        <w:spacing w:after="0"/>
        <w:rPr>
          <w:sz w:val="20"/>
          <w:szCs w:val="20"/>
          <w:color w:val="auto"/>
        </w:rPr>
      </w:pPr>
      <w:r>
        <w:rPr>
          <w:rFonts w:ascii="Arial" w:cs="Arial" w:eastAsia="Arial" w:hAnsi="Arial"/>
          <w:sz w:val="22"/>
          <w:szCs w:val="22"/>
          <w:b w:val="1"/>
          <w:bCs w:val="1"/>
          <w:color w:val="auto"/>
        </w:rPr>
        <w:t>CURRENT REPORT</w:t>
      </w:r>
    </w:p>
    <w:p>
      <w:pPr>
        <w:spacing w:after="0" w:line="4" w:lineRule="exact"/>
        <w:rPr>
          <w:sz w:val="24"/>
          <w:szCs w:val="24"/>
          <w:color w:val="auto"/>
        </w:rPr>
      </w:pPr>
    </w:p>
    <w:p>
      <w:pPr>
        <w:jc w:val="center"/>
        <w:ind w:right="-119"/>
        <w:spacing w:after="0"/>
        <w:rPr>
          <w:sz w:val="20"/>
          <w:szCs w:val="20"/>
          <w:color w:val="auto"/>
        </w:rPr>
      </w:pPr>
      <w:r>
        <w:rPr>
          <w:rFonts w:ascii="Arial" w:cs="Arial" w:eastAsia="Arial" w:hAnsi="Arial"/>
          <w:sz w:val="22"/>
          <w:szCs w:val="22"/>
          <w:b w:val="1"/>
          <w:bCs w:val="1"/>
          <w:color w:val="auto"/>
        </w:rPr>
        <w:t>PURSUANT TO SECTION 13 OR 15(d)</w:t>
      </w:r>
    </w:p>
    <w:p>
      <w:pPr>
        <w:jc w:val="center"/>
        <w:ind w:right="-119"/>
        <w:spacing w:after="0"/>
        <w:rPr>
          <w:sz w:val="20"/>
          <w:szCs w:val="20"/>
          <w:color w:val="auto"/>
        </w:rPr>
      </w:pPr>
      <w:r>
        <w:rPr>
          <w:rFonts w:ascii="Arial" w:cs="Arial" w:eastAsia="Arial" w:hAnsi="Arial"/>
          <w:sz w:val="22"/>
          <w:szCs w:val="22"/>
          <w:b w:val="1"/>
          <w:bCs w:val="1"/>
          <w:color w:val="auto"/>
        </w:rPr>
        <w:t>OF THE SECURITIES EXCHANGE ACT OF 1934</w:t>
      </w:r>
    </w:p>
    <w:p>
      <w:pPr>
        <w:spacing w:after="0" w:line="182" w:lineRule="exact"/>
        <w:rPr>
          <w:sz w:val="24"/>
          <w:szCs w:val="24"/>
          <w:color w:val="auto"/>
        </w:rPr>
      </w:pPr>
    </w:p>
    <w:p>
      <w:pPr>
        <w:jc w:val="center"/>
        <w:ind w:right="-119"/>
        <w:spacing w:after="0"/>
        <w:rPr>
          <w:sz w:val="20"/>
          <w:szCs w:val="20"/>
          <w:color w:val="auto"/>
        </w:rPr>
      </w:pPr>
      <w:r>
        <w:rPr>
          <w:rFonts w:ascii="Arial" w:cs="Arial" w:eastAsia="Arial" w:hAnsi="Arial"/>
          <w:sz w:val="22"/>
          <w:szCs w:val="22"/>
          <w:b w:val="1"/>
          <w:bCs w:val="1"/>
          <w:color w:val="auto"/>
        </w:rPr>
        <w:t>Date of Report (Date of Earliest Event Reported): January 3, 2019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2767965</wp:posOffset>
            </wp:positionH>
            <wp:positionV relativeFrom="paragraph">
              <wp:posOffset>234315</wp:posOffset>
            </wp:positionV>
            <wp:extent cx="146621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66215" cy="8890"/>
                    </a:xfrm>
                    <a:prstGeom prst="rect">
                      <a:avLst/>
                    </a:prstGeom>
                    <a:noFill/>
                  </pic:spPr>
                </pic:pic>
              </a:graphicData>
            </a:graphic>
          </wp:anchor>
        </w:drawing>
      </w:r>
    </w:p>
    <w:p>
      <w:pPr>
        <w:spacing w:after="0" w:line="200" w:lineRule="exact"/>
        <w:rPr>
          <w:sz w:val="24"/>
          <w:szCs w:val="24"/>
          <w:color w:val="auto"/>
        </w:rPr>
      </w:pPr>
    </w:p>
    <w:p>
      <w:pPr>
        <w:spacing w:after="0" w:line="335" w:lineRule="exact"/>
        <w:rPr>
          <w:sz w:val="24"/>
          <w:szCs w:val="24"/>
          <w:color w:val="auto"/>
        </w:rPr>
      </w:pPr>
    </w:p>
    <w:p>
      <w:pPr>
        <w:jc w:val="center"/>
        <w:ind w:right="-119"/>
        <w:spacing w:after="0"/>
        <w:rPr>
          <w:sz w:val="20"/>
          <w:szCs w:val="20"/>
          <w:color w:val="auto"/>
        </w:rPr>
      </w:pPr>
      <w:r>
        <w:rPr>
          <w:rFonts w:ascii="Arial" w:cs="Arial" w:eastAsia="Arial" w:hAnsi="Arial"/>
          <w:sz w:val="43"/>
          <w:szCs w:val="43"/>
          <w:b w:val="1"/>
          <w:bCs w:val="1"/>
          <w:color w:val="auto"/>
        </w:rPr>
        <w:t>FORRESTER RESEARCH, INC.</w:t>
      </w:r>
    </w:p>
    <w:p>
      <w:pPr>
        <w:spacing w:after="0" w:line="50" w:lineRule="exact"/>
        <w:rPr>
          <w:sz w:val="24"/>
          <w:szCs w:val="24"/>
          <w:color w:val="auto"/>
        </w:rPr>
      </w:pPr>
    </w:p>
    <w:p>
      <w:pPr>
        <w:jc w:val="center"/>
        <w:ind w:right="-119"/>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2767965</wp:posOffset>
            </wp:positionH>
            <wp:positionV relativeFrom="paragraph">
              <wp:posOffset>236220</wp:posOffset>
            </wp:positionV>
            <wp:extent cx="1466215"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66215" cy="8890"/>
                    </a:xfrm>
                    <a:prstGeom prst="rect">
                      <a:avLst/>
                    </a:prstGeom>
                    <a:noFill/>
                  </pic:spPr>
                </pic:pic>
              </a:graphicData>
            </a:graphic>
          </wp:anchor>
        </w:drawing>
      </w:r>
    </w:p>
    <w:p>
      <w:pPr>
        <w:sectPr>
          <w:pgSz w:w="11900" w:h="16838" w:orient="portrait"/>
          <w:cols w:equalWidth="0" w:num="1">
            <w:col w:w="10900"/>
          </w:cols>
          <w:pgMar w:left="440" w:top="368" w:right="559" w:bottom="1440" w:gutter="0" w:footer="0" w:header="0"/>
        </w:sectPr>
      </w:pPr>
    </w:p>
    <w:p>
      <w:pPr>
        <w:spacing w:after="0" w:line="200" w:lineRule="exact"/>
        <w:rPr>
          <w:sz w:val="24"/>
          <w:szCs w:val="24"/>
          <w:color w:val="auto"/>
        </w:rPr>
      </w:pPr>
    </w:p>
    <w:p>
      <w:pPr>
        <w:spacing w:after="0" w:line="200" w:lineRule="exact"/>
        <w:rPr>
          <w:sz w:val="24"/>
          <w:szCs w:val="24"/>
          <w:color w:val="auto"/>
        </w:rPr>
      </w:pPr>
    </w:p>
    <w:p>
      <w:pPr>
        <w:spacing w:after="0" w:line="237" w:lineRule="exact"/>
        <w:rPr>
          <w:sz w:val="24"/>
          <w:szCs w:val="24"/>
          <w:color w:val="auto"/>
        </w:rPr>
      </w:pPr>
    </w:p>
    <w:p>
      <w:pPr>
        <w:ind w:left="1520"/>
        <w:spacing w:after="0"/>
        <w:rPr>
          <w:sz w:val="20"/>
          <w:szCs w:val="20"/>
          <w:color w:val="auto"/>
        </w:rPr>
      </w:pPr>
      <w:r>
        <w:rPr>
          <w:rFonts w:ascii="Arial" w:cs="Arial" w:eastAsia="Arial" w:hAnsi="Arial"/>
          <w:sz w:val="16"/>
          <w:szCs w:val="16"/>
          <w:b w:val="1"/>
          <w:bCs w:val="1"/>
          <w:color w:val="auto"/>
        </w:rPr>
        <w:t>Delaware</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17" w:lineRule="exact"/>
        <w:rPr>
          <w:sz w:val="24"/>
          <w:szCs w:val="24"/>
          <w:color w:val="auto"/>
        </w:rPr>
      </w:pPr>
    </w:p>
    <w:p>
      <w:pPr>
        <w:jc w:val="center"/>
        <w:ind w:right="2080"/>
        <w:spacing w:after="0"/>
        <w:rPr>
          <w:sz w:val="20"/>
          <w:szCs w:val="20"/>
          <w:color w:val="auto"/>
        </w:rPr>
      </w:pPr>
      <w:r>
        <w:rPr>
          <w:rFonts w:ascii="Arial" w:cs="Arial" w:eastAsia="Arial" w:hAnsi="Arial"/>
          <w:sz w:val="16"/>
          <w:szCs w:val="16"/>
          <w:b w:val="1"/>
          <w:bCs w:val="1"/>
          <w:color w:val="auto"/>
        </w:rPr>
        <w:t>000-21433</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17" w:lineRule="exact"/>
        <w:rPr>
          <w:sz w:val="24"/>
          <w:szCs w:val="24"/>
          <w:color w:val="auto"/>
        </w:rPr>
      </w:pPr>
    </w:p>
    <w:p>
      <w:pPr>
        <w:spacing w:after="0"/>
        <w:rPr>
          <w:sz w:val="20"/>
          <w:szCs w:val="20"/>
          <w:color w:val="auto"/>
        </w:rPr>
      </w:pPr>
      <w:r>
        <w:rPr>
          <w:rFonts w:ascii="Arial" w:cs="Arial" w:eastAsia="Arial" w:hAnsi="Arial"/>
          <w:sz w:val="16"/>
          <w:szCs w:val="16"/>
          <w:b w:val="1"/>
          <w:bCs w:val="1"/>
          <w:color w:val="auto"/>
        </w:rPr>
        <w:t>04-2797789</w:t>
      </w:r>
    </w:p>
    <w:p>
      <w:pPr>
        <w:spacing w:after="0" w:line="31" w:lineRule="exact"/>
        <w:rPr>
          <w:sz w:val="24"/>
          <w:szCs w:val="24"/>
          <w:color w:val="auto"/>
        </w:rPr>
      </w:pPr>
    </w:p>
    <w:p>
      <w:pPr>
        <w:sectPr>
          <w:pgSz w:w="11900" w:h="16838" w:orient="portrait"/>
          <w:cols w:equalWidth="0" w:num="3">
            <w:col w:w="4520" w:space="720"/>
            <w:col w:w="2860" w:space="720"/>
            <w:col w:w="2080"/>
          </w:cols>
          <w:pgMar w:left="440" w:top="368" w:right="559" w:bottom="1440" w:gutter="0" w:footer="0" w:header="0"/>
          <w:type w:val="continuous"/>
        </w:sectPr>
      </w:pPr>
    </w:p>
    <w:p>
      <w:pPr>
        <w:spacing w:after="0" w:line="12" w:lineRule="exact"/>
        <w:rPr>
          <w:sz w:val="24"/>
          <w:szCs w:val="24"/>
          <w:color w:val="auto"/>
        </w:rPr>
      </w:pPr>
    </w:p>
    <w:p>
      <w:pPr>
        <w:jc w:val="center"/>
        <w:ind w:right="740"/>
        <w:spacing w:after="0"/>
        <w:rPr>
          <w:sz w:val="20"/>
          <w:szCs w:val="20"/>
          <w:color w:val="auto"/>
        </w:rPr>
      </w:pPr>
      <w:r>
        <w:rPr>
          <w:rFonts w:ascii="Arial" w:cs="Arial" w:eastAsia="Arial" w:hAnsi="Arial"/>
          <w:sz w:val="13"/>
          <w:szCs w:val="13"/>
          <w:b w:val="1"/>
          <w:bCs w:val="1"/>
          <w:color w:val="auto"/>
        </w:rPr>
        <w:t>(State or other jurisdiction</w:t>
      </w:r>
    </w:p>
    <w:p>
      <w:pPr>
        <w:jc w:val="center"/>
        <w:ind w:right="740"/>
        <w:spacing w:after="0"/>
        <w:rPr>
          <w:sz w:val="20"/>
          <w:szCs w:val="20"/>
          <w:color w:val="auto"/>
        </w:rPr>
      </w:pPr>
      <w:r>
        <w:rPr>
          <w:rFonts w:ascii="Arial" w:cs="Arial" w:eastAsia="Arial" w:hAnsi="Arial"/>
          <w:sz w:val="14"/>
          <w:szCs w:val="14"/>
          <w:b w:val="1"/>
          <w:bCs w:val="1"/>
          <w:color w:val="auto"/>
        </w:rPr>
        <w:t>of incorporation)</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2"/>
          <w:szCs w:val="12"/>
          <w:b w:val="1"/>
          <w:bCs w:val="1"/>
          <w:color w:val="auto"/>
        </w:rPr>
        <w:t>(Commission</w:t>
      </w:r>
    </w:p>
    <w:p>
      <w:pPr>
        <w:spacing w:after="0" w:line="4" w:lineRule="exact"/>
        <w:rPr>
          <w:sz w:val="24"/>
          <w:szCs w:val="24"/>
          <w:color w:val="auto"/>
        </w:rPr>
      </w:pPr>
    </w:p>
    <w:p>
      <w:pPr>
        <w:spacing w:after="0"/>
        <w:rPr>
          <w:sz w:val="20"/>
          <w:szCs w:val="20"/>
          <w:color w:val="auto"/>
        </w:rPr>
      </w:pPr>
      <w:r>
        <w:rPr>
          <w:rFonts w:ascii="Arial" w:cs="Arial" w:eastAsia="Arial" w:hAnsi="Arial"/>
          <w:sz w:val="13"/>
          <w:szCs w:val="13"/>
          <w:b w:val="1"/>
          <w:bCs w:val="1"/>
          <w:color w:val="auto"/>
        </w:rPr>
        <w:t>File Number)</w:t>
      </w:r>
    </w:p>
    <w:p>
      <w:pPr>
        <w:spacing w:after="0" w:line="20" w:lineRule="exact"/>
        <w:rPr>
          <w:sz w:val="24"/>
          <w:szCs w:val="24"/>
          <w:color w:val="auto"/>
        </w:rPr>
      </w:pPr>
      <w:r>
        <w:rPr>
          <w:sz w:val="24"/>
          <w:szCs w:val="24"/>
          <w:color w:val="auto"/>
        </w:rPr>
        <w:br w:type="column"/>
      </w:r>
    </w:p>
    <w:p>
      <w:pPr>
        <w:jc w:val="center"/>
        <w:ind w:right="920"/>
        <w:spacing w:after="0"/>
        <w:rPr>
          <w:sz w:val="20"/>
          <w:szCs w:val="20"/>
          <w:color w:val="auto"/>
        </w:rPr>
      </w:pPr>
      <w:r>
        <w:rPr>
          <w:rFonts w:ascii="Arial" w:cs="Arial" w:eastAsia="Arial" w:hAnsi="Arial"/>
          <w:sz w:val="14"/>
          <w:szCs w:val="14"/>
          <w:b w:val="1"/>
          <w:bCs w:val="1"/>
          <w:color w:val="auto"/>
        </w:rPr>
        <w:t>(I.R.S. Employer</w:t>
      </w:r>
    </w:p>
    <w:p>
      <w:pPr>
        <w:jc w:val="center"/>
        <w:ind w:right="920"/>
        <w:spacing w:after="0"/>
        <w:rPr>
          <w:sz w:val="20"/>
          <w:szCs w:val="20"/>
          <w:color w:val="auto"/>
        </w:rPr>
      </w:pPr>
      <w:r>
        <w:rPr>
          <w:rFonts w:ascii="Arial" w:cs="Arial" w:eastAsia="Arial" w:hAnsi="Arial"/>
          <w:sz w:val="13"/>
          <w:szCs w:val="13"/>
          <w:b w:val="1"/>
          <w:bCs w:val="1"/>
          <w:color w:val="auto"/>
        </w:rPr>
        <w:t>Identification Number)</w:t>
      </w:r>
    </w:p>
    <w:p>
      <w:pPr>
        <w:spacing w:after="0" w:line="211" w:lineRule="exact"/>
        <w:rPr>
          <w:sz w:val="24"/>
          <w:szCs w:val="24"/>
          <w:color w:val="auto"/>
        </w:rPr>
      </w:pPr>
    </w:p>
    <w:p>
      <w:pPr>
        <w:sectPr>
          <w:pgSz w:w="11900" w:h="16838" w:orient="portrait"/>
          <w:cols w:equalWidth="0" w:num="3">
            <w:col w:w="4500" w:space="720"/>
            <w:col w:w="2600" w:space="720"/>
            <w:col w:w="2360"/>
          </w:cols>
          <w:pgMar w:left="440" w:top="368" w:right="559" w:bottom="1440" w:gutter="0" w:footer="0" w:header="0"/>
          <w:type w:val="continuous"/>
        </w:sectPr>
      </w:pPr>
    </w:p>
    <w:p>
      <w:pPr>
        <w:spacing w:after="0" w:line="6" w:lineRule="exact"/>
        <w:rPr>
          <w:sz w:val="24"/>
          <w:szCs w:val="24"/>
          <w:color w:val="auto"/>
        </w:rPr>
      </w:pPr>
    </w:p>
    <w:p>
      <w:pPr>
        <w:jc w:val="center"/>
        <w:ind w:right="-119"/>
        <w:spacing w:after="0"/>
        <w:rPr>
          <w:sz w:val="20"/>
          <w:szCs w:val="20"/>
          <w:color w:val="auto"/>
        </w:rPr>
      </w:pPr>
      <w:r>
        <w:rPr>
          <w:rFonts w:ascii="Arial" w:cs="Arial" w:eastAsia="Arial" w:hAnsi="Arial"/>
          <w:sz w:val="18"/>
          <w:szCs w:val="18"/>
          <w:b w:val="1"/>
          <w:bCs w:val="1"/>
          <w:color w:val="auto"/>
        </w:rPr>
        <w:t>60 Acorn Park Drive</w:t>
      </w:r>
    </w:p>
    <w:p>
      <w:pPr>
        <w:spacing w:after="0" w:line="27" w:lineRule="exact"/>
        <w:rPr>
          <w:sz w:val="24"/>
          <w:szCs w:val="24"/>
          <w:color w:val="auto"/>
        </w:rPr>
      </w:pPr>
    </w:p>
    <w:p>
      <w:pPr>
        <w:jc w:val="center"/>
        <w:ind w:right="-119"/>
        <w:spacing w:after="0"/>
        <w:rPr>
          <w:sz w:val="20"/>
          <w:szCs w:val="20"/>
          <w:color w:val="auto"/>
        </w:rPr>
      </w:pPr>
      <w:r>
        <w:rPr>
          <w:rFonts w:ascii="Arial" w:cs="Arial" w:eastAsia="Arial" w:hAnsi="Arial"/>
          <w:sz w:val="18"/>
          <w:szCs w:val="18"/>
          <w:b w:val="1"/>
          <w:bCs w:val="1"/>
          <w:color w:val="auto"/>
        </w:rPr>
        <w:t>Cambridge, Massachusetts 02140</w:t>
      </w:r>
    </w:p>
    <w:p>
      <w:pPr>
        <w:spacing w:after="0" w:line="2" w:lineRule="exact"/>
        <w:rPr>
          <w:sz w:val="24"/>
          <w:szCs w:val="24"/>
          <w:color w:val="auto"/>
        </w:rPr>
      </w:pPr>
    </w:p>
    <w:p>
      <w:pPr>
        <w:jc w:val="center"/>
        <w:ind w:right="-119"/>
        <w:spacing w:after="0"/>
        <w:rPr>
          <w:sz w:val="20"/>
          <w:szCs w:val="20"/>
          <w:color w:val="auto"/>
        </w:rPr>
      </w:pPr>
      <w:r>
        <w:rPr>
          <w:rFonts w:ascii="Arial" w:cs="Arial" w:eastAsia="Arial" w:hAnsi="Arial"/>
          <w:sz w:val="14"/>
          <w:szCs w:val="14"/>
          <w:b w:val="1"/>
          <w:bCs w:val="1"/>
          <w:color w:val="auto"/>
        </w:rPr>
        <w:t>(Address of principal executive offices, including zip code)</w:t>
      </w:r>
    </w:p>
    <w:p>
      <w:pPr>
        <w:spacing w:after="0" w:line="192" w:lineRule="exact"/>
        <w:rPr>
          <w:sz w:val="24"/>
          <w:szCs w:val="24"/>
          <w:color w:val="auto"/>
        </w:rPr>
      </w:pPr>
    </w:p>
    <w:p>
      <w:pPr>
        <w:jc w:val="center"/>
        <w:ind w:right="-119"/>
        <w:spacing w:after="0"/>
        <w:rPr>
          <w:sz w:val="20"/>
          <w:szCs w:val="20"/>
          <w:color w:val="auto"/>
        </w:rPr>
      </w:pPr>
      <w:r>
        <w:rPr>
          <w:rFonts w:ascii="Arial" w:cs="Arial" w:eastAsia="Arial" w:hAnsi="Arial"/>
          <w:sz w:val="18"/>
          <w:szCs w:val="18"/>
          <w:b w:val="1"/>
          <w:bCs w:val="1"/>
          <w:color w:val="auto"/>
        </w:rPr>
        <w:t>(617) 613-6000</w:t>
      </w:r>
    </w:p>
    <w:p>
      <w:pPr>
        <w:spacing w:after="0" w:line="21" w:lineRule="exact"/>
        <w:rPr>
          <w:sz w:val="24"/>
          <w:szCs w:val="24"/>
          <w:color w:val="auto"/>
        </w:rPr>
      </w:pPr>
    </w:p>
    <w:p>
      <w:pPr>
        <w:jc w:val="center"/>
        <w:ind w:right="-119"/>
        <w:spacing w:after="0"/>
        <w:rPr>
          <w:sz w:val="20"/>
          <w:szCs w:val="20"/>
          <w:color w:val="auto"/>
        </w:rPr>
      </w:pPr>
      <w:r>
        <w:rPr>
          <w:rFonts w:ascii="Arial" w:cs="Arial" w:eastAsia="Arial" w:hAnsi="Arial"/>
          <w:sz w:val="14"/>
          <w:szCs w:val="14"/>
          <w:b w:val="1"/>
          <w:bCs w:val="1"/>
          <w:color w:val="auto"/>
        </w:rPr>
        <w:t>(Registrant’s telephone number including area code)</w:t>
      </w:r>
    </w:p>
    <w:p>
      <w:pPr>
        <w:spacing w:after="0" w:line="192" w:lineRule="exact"/>
        <w:rPr>
          <w:sz w:val="24"/>
          <w:szCs w:val="24"/>
          <w:color w:val="auto"/>
        </w:rPr>
      </w:pPr>
    </w:p>
    <w:p>
      <w:pPr>
        <w:jc w:val="center"/>
        <w:ind w:right="-119"/>
        <w:spacing w:after="0"/>
        <w:rPr>
          <w:sz w:val="20"/>
          <w:szCs w:val="20"/>
          <w:color w:val="auto"/>
        </w:rPr>
      </w:pPr>
      <w:r>
        <w:rPr>
          <w:rFonts w:ascii="Arial" w:cs="Arial" w:eastAsia="Arial" w:hAnsi="Arial"/>
          <w:sz w:val="18"/>
          <w:szCs w:val="18"/>
          <w:b w:val="1"/>
          <w:bCs w:val="1"/>
          <w:color w:val="auto"/>
        </w:rPr>
        <w:t>N/A</w:t>
      </w:r>
    </w:p>
    <w:p>
      <w:pPr>
        <w:spacing w:after="0" w:line="21" w:lineRule="exact"/>
        <w:rPr>
          <w:sz w:val="24"/>
          <w:szCs w:val="24"/>
          <w:color w:val="auto"/>
        </w:rPr>
      </w:pPr>
    </w:p>
    <w:p>
      <w:pPr>
        <w:jc w:val="center"/>
        <w:ind w:right="-119"/>
        <w:spacing w:after="0"/>
        <w:rPr>
          <w:sz w:val="20"/>
          <w:szCs w:val="20"/>
          <w:color w:val="auto"/>
        </w:rPr>
      </w:pPr>
      <w:r>
        <w:rPr>
          <w:rFonts w:ascii="Arial" w:cs="Arial" w:eastAsia="Arial" w:hAnsi="Arial"/>
          <w:sz w:val="13"/>
          <w:szCs w:val="13"/>
          <w:b w:val="1"/>
          <w:bCs w:val="1"/>
          <w:color w:val="auto"/>
        </w:rPr>
        <w:t>(Former Name or Former Address, if Changes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2767965</wp:posOffset>
            </wp:positionH>
            <wp:positionV relativeFrom="paragraph">
              <wp:posOffset>234950</wp:posOffset>
            </wp:positionV>
            <wp:extent cx="1466215"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66215" cy="8890"/>
                    </a:xfrm>
                    <a:prstGeom prst="rect">
                      <a:avLst/>
                    </a:prstGeom>
                    <a:noFill/>
                  </pic:spPr>
                </pic:pic>
              </a:graphicData>
            </a:graphic>
          </wp:anchor>
        </w:drawing>
      </w:r>
    </w:p>
    <w:p>
      <w:pPr>
        <w:sectPr>
          <w:pgSz w:w="11900" w:h="16838" w:orient="portrait"/>
          <w:cols w:equalWidth="0" w:num="1">
            <w:col w:w="10900"/>
          </w:cols>
          <w:pgMar w:left="440" w:top="368" w:right="559" w:bottom="1440" w:gutter="0" w:footer="0" w:header="0"/>
          <w:type w:val="continuous"/>
        </w:sectPr>
      </w:pPr>
    </w:p>
    <w:p>
      <w:pPr>
        <w:spacing w:after="0" w:line="200" w:lineRule="exact"/>
        <w:rPr>
          <w:sz w:val="24"/>
          <w:szCs w:val="24"/>
          <w:color w:val="auto"/>
        </w:rPr>
      </w:pPr>
    </w:p>
    <w:p>
      <w:pPr>
        <w:spacing w:after="0" w:line="386" w:lineRule="exact"/>
        <w:rPr>
          <w:sz w:val="24"/>
          <w:szCs w:val="24"/>
          <w:color w:val="auto"/>
        </w:rPr>
      </w:pPr>
    </w:p>
    <w:p>
      <w:pPr>
        <w:ind w:right="340"/>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76" w:lineRule="exact"/>
        <w:rPr>
          <w:sz w:val="24"/>
          <w:szCs w:val="24"/>
          <w:color w:val="auto"/>
        </w:rPr>
      </w:pPr>
    </w:p>
    <w:p>
      <w:pPr>
        <w:ind w:left="440" w:hanging="436"/>
        <w:spacing w:after="0"/>
        <w:tabs>
          <w:tab w:leader="none" w:pos="44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130" w:lineRule="exact"/>
        <w:rPr>
          <w:rFonts w:ascii="MS PGothic" w:cs="MS PGothic" w:eastAsia="MS PGothic" w:hAnsi="MS PGothic"/>
          <w:sz w:val="18"/>
          <w:szCs w:val="18"/>
          <w:color w:val="auto"/>
        </w:rPr>
      </w:pPr>
    </w:p>
    <w:p>
      <w:pPr>
        <w:ind w:left="440" w:hanging="436"/>
        <w:spacing w:after="0"/>
        <w:tabs>
          <w:tab w:leader="none" w:pos="44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130" w:lineRule="exact"/>
        <w:rPr>
          <w:rFonts w:ascii="MS PGothic" w:cs="MS PGothic" w:eastAsia="MS PGothic" w:hAnsi="MS PGothic"/>
          <w:sz w:val="18"/>
          <w:szCs w:val="18"/>
          <w:color w:val="auto"/>
        </w:rPr>
      </w:pPr>
    </w:p>
    <w:p>
      <w:pPr>
        <w:ind w:left="440" w:hanging="436"/>
        <w:spacing w:after="0"/>
        <w:tabs>
          <w:tab w:leader="none" w:pos="44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130" w:lineRule="exact"/>
        <w:rPr>
          <w:rFonts w:ascii="MS PGothic" w:cs="MS PGothic" w:eastAsia="MS PGothic" w:hAnsi="MS PGothic"/>
          <w:sz w:val="18"/>
          <w:szCs w:val="18"/>
          <w:color w:val="auto"/>
        </w:rPr>
      </w:pPr>
    </w:p>
    <w:p>
      <w:pPr>
        <w:ind w:left="440" w:hanging="436"/>
        <w:spacing w:after="0"/>
        <w:tabs>
          <w:tab w:leader="none" w:pos="44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13-4(c) under the Exchange Act (17 CFR 240.13e-4(c))</w:t>
      </w:r>
    </w:p>
    <w:p>
      <w:pPr>
        <w:spacing w:after="0" w:line="225" w:lineRule="exact"/>
        <w:rPr>
          <w:sz w:val="24"/>
          <w:szCs w:val="24"/>
          <w:color w:val="auto"/>
        </w:rPr>
      </w:pPr>
    </w:p>
    <w:p>
      <w:pPr>
        <w:spacing w:after="0" w:line="277" w:lineRule="auto"/>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of 1933 (17 CFR §230.405) or Rule 12b-2 of the Securities Exchange Act of 1934 (17 CFR §240.12b-2).</w:t>
      </w:r>
    </w:p>
    <w:p>
      <w:pPr>
        <w:spacing w:after="0" w:line="138" w:lineRule="exact"/>
        <w:rPr>
          <w:sz w:val="24"/>
          <w:szCs w:val="24"/>
          <w:color w:val="auto"/>
        </w:rPr>
      </w:pPr>
    </w:p>
    <w:p>
      <w:pPr>
        <w:spacing w:after="0" w:line="207" w:lineRule="exact"/>
        <w:rPr>
          <w:sz w:val="20"/>
          <w:szCs w:val="20"/>
          <w:color w:val="auto"/>
        </w:rPr>
      </w:pPr>
      <w:r>
        <w:rPr>
          <w:rFonts w:ascii="Arial" w:cs="Arial" w:eastAsia="Arial" w:hAnsi="Arial"/>
          <w:sz w:val="18"/>
          <w:szCs w:val="18"/>
          <w:color w:val="auto"/>
        </w:rPr>
        <w:t xml:space="preserve">Emerging growth company  </w:t>
      </w:r>
      <w:r>
        <w:rPr>
          <w:rFonts w:ascii="MS PGothic" w:cs="MS PGothic" w:eastAsia="MS PGothic" w:hAnsi="MS PGothic"/>
          <w:sz w:val="18"/>
          <w:szCs w:val="18"/>
          <w:color w:val="auto"/>
        </w:rPr>
        <w:t>☐</w:t>
      </w:r>
    </w:p>
    <w:p>
      <w:pPr>
        <w:spacing w:after="0" w:line="258" w:lineRule="exact"/>
        <w:rPr>
          <w:sz w:val="24"/>
          <w:szCs w:val="24"/>
          <w:color w:val="auto"/>
        </w:rPr>
      </w:pPr>
    </w:p>
    <w:p>
      <w:pPr>
        <w:ind w:right="160"/>
        <w:spacing w:after="0" w:line="23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133350</wp:posOffset>
            </wp:positionV>
            <wp:extent cx="699770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997700" cy="8890"/>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176530</wp:posOffset>
            </wp:positionV>
            <wp:extent cx="699770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997700" cy="8890"/>
                    </a:xfrm>
                    <a:prstGeom prst="rect">
                      <a:avLst/>
                    </a:prstGeom>
                    <a:noFill/>
                  </pic:spPr>
                </pic:pic>
              </a:graphicData>
            </a:graphic>
          </wp:anchor>
        </w:drawing>
      </w:r>
    </w:p>
    <w:p>
      <w:pPr>
        <w:sectPr>
          <w:pgSz w:w="11900" w:h="16838" w:orient="portrait"/>
          <w:cols w:equalWidth="0" w:num="1">
            <w:col w:w="10900"/>
          </w:cols>
          <w:pgMar w:left="440" w:top="368" w:right="559" w:bottom="1440" w:gutter="0" w:footer="0" w:header="0"/>
          <w:type w:val="continuous"/>
        </w:sectPr>
      </w:pPr>
    </w:p>
    <w:bookmarkStart w:id="1" w:name="page2"/>
    <w:bookmarkEnd w:id="1"/>
    <w:p>
      <w:pPr>
        <w:jc w:val="center"/>
        <w:ind w:right="-7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Explanatory Note</w:t>
      </w:r>
    </w:p>
    <w:p>
      <w:pPr>
        <w:spacing w:after="0" w:line="229" w:lineRule="exact"/>
        <w:rPr>
          <w:sz w:val="20"/>
          <w:szCs w:val="20"/>
          <w:color w:val="auto"/>
        </w:rPr>
      </w:pPr>
    </w:p>
    <w:p>
      <w:pPr>
        <w:ind w:right="260" w:firstLine="441"/>
        <w:spacing w:after="0" w:line="264" w:lineRule="auto"/>
        <w:rPr>
          <w:sz w:val="20"/>
          <w:szCs w:val="20"/>
          <w:color w:val="auto"/>
        </w:rPr>
      </w:pPr>
      <w:r>
        <w:rPr>
          <w:rFonts w:ascii="Arial" w:cs="Arial" w:eastAsia="Arial" w:hAnsi="Arial"/>
          <w:sz w:val="18"/>
          <w:szCs w:val="18"/>
          <w:color w:val="auto"/>
        </w:rPr>
        <w:t>As previously disclosed in the Current Report on Form 8-K filed by Forrester Research, Inc. (the “Company”) on January 3, 2019 (the “Initial Form 8-K”), the Company completed the acquisition of SiriusDecisions, Inc., a Delaware corporation, and its subsidiaries (“SiriusDecisions”), on January 3, 2019.</w:t>
      </w:r>
    </w:p>
    <w:p>
      <w:pPr>
        <w:spacing w:after="0" w:line="181" w:lineRule="exact"/>
        <w:rPr>
          <w:sz w:val="20"/>
          <w:szCs w:val="20"/>
          <w:color w:val="auto"/>
        </w:rPr>
      </w:pPr>
    </w:p>
    <w:p>
      <w:pPr>
        <w:ind w:right="180" w:firstLine="441"/>
        <w:spacing w:after="0" w:line="277" w:lineRule="auto"/>
        <w:rPr>
          <w:sz w:val="20"/>
          <w:szCs w:val="20"/>
          <w:color w:val="auto"/>
        </w:rPr>
      </w:pPr>
      <w:r>
        <w:rPr>
          <w:rFonts w:ascii="Arial" w:cs="Arial" w:eastAsia="Arial" w:hAnsi="Arial"/>
          <w:sz w:val="18"/>
          <w:szCs w:val="18"/>
          <w:color w:val="auto"/>
        </w:rPr>
        <w:t>This Current Report on Form 8-K/A amends the Initial Form 8-K to include financial statements of SiriusDecisions required by Item 9.01(a) of Form 8-K and pro forma information related to the acquisition of SiriusDecisions by Item 9.01(b) of Form 8-K.</w:t>
      </w:r>
    </w:p>
    <w:p>
      <w:pPr>
        <w:spacing w:after="0" w:line="315"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9.01.</w:t>
      </w:r>
      <w:r>
        <w:rPr>
          <w:sz w:val="20"/>
          <w:szCs w:val="20"/>
          <w:color w:val="auto"/>
        </w:rPr>
        <w:tab/>
      </w:r>
      <w:r>
        <w:rPr>
          <w:rFonts w:ascii="Arial" w:cs="Arial" w:eastAsia="Arial" w:hAnsi="Arial"/>
          <w:sz w:val="16"/>
          <w:szCs w:val="16"/>
          <w:b w:val="1"/>
          <w:bCs w:val="1"/>
          <w:color w:val="auto"/>
        </w:rPr>
        <w:t>Financial Statements and Exhibits</w:t>
      </w:r>
    </w:p>
    <w:p>
      <w:pPr>
        <w:spacing w:after="0" w:line="121" w:lineRule="exact"/>
        <w:rPr>
          <w:sz w:val="20"/>
          <w:szCs w:val="20"/>
          <w:color w:val="auto"/>
        </w:rPr>
      </w:pPr>
    </w:p>
    <w:p>
      <w:pPr>
        <w:ind w:left="680" w:hanging="236"/>
        <w:spacing w:after="0"/>
        <w:tabs>
          <w:tab w:leader="none" w:pos="680" w:val="left"/>
        </w:tabs>
        <w:numPr>
          <w:ilvl w:val="0"/>
          <w:numId w:val="2"/>
        </w:numPr>
        <w:rPr>
          <w:rFonts w:ascii="Arial" w:cs="Arial" w:eastAsia="Arial" w:hAnsi="Arial"/>
          <w:sz w:val="18"/>
          <w:szCs w:val="18"/>
          <w:color w:val="auto"/>
        </w:rPr>
      </w:pPr>
      <w:r>
        <w:rPr>
          <w:rFonts w:ascii="Arial" w:cs="Arial" w:eastAsia="Arial" w:hAnsi="Arial"/>
          <w:sz w:val="18"/>
          <w:szCs w:val="18"/>
          <w:i w:val="1"/>
          <w:iCs w:val="1"/>
          <w:color w:val="auto"/>
        </w:rPr>
        <w:t>Financial Statements of Business Acquired</w:t>
      </w:r>
    </w:p>
    <w:p>
      <w:pPr>
        <w:spacing w:after="0" w:line="225" w:lineRule="exact"/>
        <w:rPr>
          <w:sz w:val="20"/>
          <w:szCs w:val="20"/>
          <w:color w:val="auto"/>
        </w:rPr>
      </w:pPr>
    </w:p>
    <w:p>
      <w:pPr>
        <w:ind w:right="800" w:firstLine="441"/>
        <w:spacing w:after="0" w:line="277" w:lineRule="auto"/>
        <w:rPr>
          <w:sz w:val="20"/>
          <w:szCs w:val="20"/>
          <w:color w:val="auto"/>
        </w:rPr>
      </w:pPr>
      <w:r>
        <w:rPr>
          <w:rFonts w:ascii="Arial" w:cs="Arial" w:eastAsia="Arial" w:hAnsi="Arial"/>
          <w:sz w:val="18"/>
          <w:szCs w:val="18"/>
          <w:color w:val="auto"/>
        </w:rPr>
        <w:t>The financial statements of SiriusDecisions required under Item 9.01(a) of Form 8-K are attached as Exhibit 99.1 and Exhibit 99.2 and incorporated in this Item 9.01(a) by reference.</w:t>
      </w:r>
    </w:p>
    <w:p>
      <w:pPr>
        <w:spacing w:after="0" w:line="62" w:lineRule="exact"/>
        <w:rPr>
          <w:sz w:val="20"/>
          <w:szCs w:val="20"/>
          <w:color w:val="auto"/>
        </w:rPr>
      </w:pPr>
    </w:p>
    <w:p>
      <w:pPr>
        <w:ind w:left="700" w:hanging="256"/>
        <w:spacing w:after="0"/>
        <w:tabs>
          <w:tab w:leader="none" w:pos="700" w:val="left"/>
        </w:tabs>
        <w:numPr>
          <w:ilvl w:val="0"/>
          <w:numId w:val="3"/>
        </w:numPr>
        <w:rPr>
          <w:rFonts w:ascii="Arial" w:cs="Arial" w:eastAsia="Arial" w:hAnsi="Arial"/>
          <w:sz w:val="18"/>
          <w:szCs w:val="18"/>
          <w:color w:val="auto"/>
        </w:rPr>
      </w:pPr>
      <w:r>
        <w:rPr>
          <w:rFonts w:ascii="Arial" w:cs="Arial" w:eastAsia="Arial" w:hAnsi="Arial"/>
          <w:sz w:val="18"/>
          <w:szCs w:val="18"/>
          <w:i w:val="1"/>
          <w:iCs w:val="1"/>
          <w:color w:val="auto"/>
        </w:rPr>
        <w:t>Pro forma Financial Information</w:t>
      </w:r>
    </w:p>
    <w:p>
      <w:pPr>
        <w:spacing w:after="0" w:line="225" w:lineRule="exact"/>
        <w:rPr>
          <w:sz w:val="20"/>
          <w:szCs w:val="20"/>
          <w:color w:val="auto"/>
        </w:rPr>
      </w:pPr>
    </w:p>
    <w:p>
      <w:pPr>
        <w:ind w:firstLine="441"/>
        <w:spacing w:after="0" w:line="277" w:lineRule="auto"/>
        <w:rPr>
          <w:sz w:val="20"/>
          <w:szCs w:val="20"/>
          <w:color w:val="auto"/>
        </w:rPr>
      </w:pPr>
      <w:r>
        <w:rPr>
          <w:rFonts w:ascii="Arial" w:cs="Arial" w:eastAsia="Arial" w:hAnsi="Arial"/>
          <w:sz w:val="18"/>
          <w:szCs w:val="18"/>
          <w:color w:val="auto"/>
        </w:rPr>
        <w:t>The pro forma financial information required under Item 9.01(b) of Form 8-K in connection with the Company’s acquisition of SiriusDecisions is attached as Exhibit 99.3 and incorporated in this Item 9.01(b) by reference.</w:t>
      </w:r>
    </w:p>
    <w:p>
      <w:pPr>
        <w:spacing w:after="0" w:line="279" w:lineRule="exact"/>
        <w:rPr>
          <w:sz w:val="20"/>
          <w:szCs w:val="20"/>
          <w:color w:val="auto"/>
        </w:rPr>
      </w:pPr>
    </w:p>
    <w:p>
      <w:pPr>
        <w:ind w:left="260" w:hanging="256"/>
        <w:spacing w:after="0"/>
        <w:tabs>
          <w:tab w:leader="none" w:pos="260" w:val="left"/>
        </w:tabs>
        <w:numPr>
          <w:ilvl w:val="0"/>
          <w:numId w:val="4"/>
        </w:numPr>
        <w:rPr>
          <w:rFonts w:ascii="Arial" w:cs="Arial" w:eastAsia="Arial" w:hAnsi="Arial"/>
          <w:sz w:val="18"/>
          <w:szCs w:val="18"/>
          <w:color w:val="auto"/>
        </w:rPr>
      </w:pPr>
      <w:r>
        <w:rPr>
          <w:rFonts w:ascii="Arial" w:cs="Arial" w:eastAsia="Arial" w:hAnsi="Arial"/>
          <w:sz w:val="18"/>
          <w:szCs w:val="18"/>
          <w:u w:val="single" w:color="auto"/>
          <w:color w:val="auto"/>
        </w:rPr>
        <w:t>Exhibits</w:t>
      </w:r>
    </w:p>
    <w:p>
      <w:pPr>
        <w:spacing w:after="0" w:line="238" w:lineRule="exact"/>
        <w:rPr>
          <w:rFonts w:ascii="Arial" w:cs="Arial" w:eastAsia="Arial" w:hAnsi="Arial"/>
          <w:sz w:val="18"/>
          <w:szCs w:val="18"/>
          <w:color w:val="auto"/>
        </w:rPr>
      </w:pPr>
    </w:p>
    <w:p>
      <w:pPr>
        <w:ind w:left="280"/>
        <w:spacing w:after="0"/>
        <w:rPr>
          <w:rFonts w:ascii="Arial" w:cs="Arial" w:eastAsia="Arial" w:hAnsi="Arial"/>
          <w:sz w:val="16"/>
          <w:szCs w:val="16"/>
          <w:u w:val="single" w:color="auto"/>
          <w:color w:val="0000EE"/>
        </w:rPr>
      </w:pPr>
      <w:r>
        <w:rPr>
          <w:rFonts w:ascii="Arial" w:cs="Arial" w:eastAsia="Arial" w:hAnsi="Arial"/>
          <w:sz w:val="18"/>
          <w:szCs w:val="18"/>
          <w:color w:val="auto"/>
        </w:rPr>
        <w:t>23.1</w:t>
      </w:r>
      <w:hyperlink w:anchor="page4">
        <w:r>
          <w:rPr>
            <w:rFonts w:ascii="Arial" w:cs="Arial" w:eastAsia="Arial" w:hAnsi="Arial"/>
            <w:sz w:val="16"/>
            <w:szCs w:val="16"/>
            <w:u w:val="single" w:color="auto"/>
            <w:color w:val="0000EE"/>
          </w:rPr>
          <w:t>Consent of PricewaterhouseCoopers LLP</w:t>
        </w:r>
      </w:hyperlink>
    </w:p>
    <w:p>
      <w:pPr>
        <w:spacing w:after="0" w:line="117" w:lineRule="exact"/>
        <w:rPr>
          <w:rFonts w:ascii="Arial" w:cs="Arial" w:eastAsia="Arial" w:hAnsi="Arial"/>
          <w:sz w:val="16"/>
          <w:szCs w:val="16"/>
          <w:u w:val="single" w:color="auto"/>
          <w:color w:val="0000EE"/>
        </w:rPr>
      </w:pPr>
    </w:p>
    <w:p>
      <w:pPr>
        <w:ind w:left="1000" w:right="220" w:hanging="729"/>
        <w:spacing w:after="0" w:line="277" w:lineRule="auto"/>
        <w:rPr>
          <w:rFonts w:ascii="Arial" w:cs="Arial" w:eastAsia="Arial" w:hAnsi="Arial"/>
          <w:sz w:val="18"/>
          <w:szCs w:val="18"/>
          <w:u w:val="single" w:color="auto"/>
          <w:color w:val="0000EE"/>
        </w:rPr>
      </w:pPr>
      <w:r>
        <w:rPr>
          <w:rFonts w:ascii="Arial" w:cs="Arial" w:eastAsia="Arial" w:hAnsi="Arial"/>
          <w:sz w:val="18"/>
          <w:szCs w:val="18"/>
          <w:color w:val="auto"/>
        </w:rPr>
        <w:t>99.1</w:t>
      </w:r>
      <w:hyperlink w:anchor="page5">
        <w:r>
          <w:rPr>
            <w:rFonts w:ascii="Arial" w:cs="Arial" w:eastAsia="Arial" w:hAnsi="Arial"/>
            <w:sz w:val="18"/>
            <w:szCs w:val="18"/>
            <w:u w:val="single" w:color="auto"/>
            <w:color w:val="0000EE"/>
          </w:rPr>
          <w:t>Audited consolidated financial statements of SiriusDecisions as of and for the years ended March 31, 2018 and 2017, the notes related</w:t>
        </w:r>
      </w:hyperlink>
      <w:r>
        <w:rPr>
          <w:rFonts w:ascii="Arial" w:cs="Arial" w:eastAsia="Arial" w:hAnsi="Arial"/>
          <w:sz w:val="18"/>
          <w:szCs w:val="18"/>
          <w:u w:val="single" w:color="auto"/>
          <w:color w:val="0000EE"/>
        </w:rPr>
        <w:t xml:space="preserve"> </w:t>
      </w:r>
      <w:hyperlink w:anchor="page5">
        <w:r>
          <w:rPr>
            <w:rFonts w:ascii="Arial" w:cs="Arial" w:eastAsia="Arial" w:hAnsi="Arial"/>
            <w:sz w:val="18"/>
            <w:szCs w:val="18"/>
            <w:u w:val="single" w:color="auto"/>
            <w:color w:val="0000EE"/>
          </w:rPr>
          <w:t>thereto and the related independent auditor’s report of PricewaterhouseCoopers LLP.</w:t>
        </w:r>
      </w:hyperlink>
    </w:p>
    <w:p>
      <w:pPr>
        <w:spacing w:after="0" w:line="62" w:lineRule="exact"/>
        <w:rPr>
          <w:rFonts w:ascii="Arial" w:cs="Arial" w:eastAsia="Arial" w:hAnsi="Arial"/>
          <w:sz w:val="18"/>
          <w:szCs w:val="18"/>
          <w:u w:val="single" w:color="auto"/>
          <w:color w:val="0000EE"/>
        </w:rPr>
      </w:pPr>
    </w:p>
    <w:p>
      <w:pPr>
        <w:ind w:left="1000" w:hanging="729"/>
        <w:spacing w:after="0" w:line="277" w:lineRule="auto"/>
        <w:rPr>
          <w:rFonts w:ascii="Arial" w:cs="Arial" w:eastAsia="Arial" w:hAnsi="Arial"/>
          <w:sz w:val="18"/>
          <w:szCs w:val="18"/>
          <w:u w:val="single" w:color="auto"/>
          <w:color w:val="0000EE"/>
        </w:rPr>
      </w:pPr>
      <w:r>
        <w:rPr>
          <w:rFonts w:ascii="Arial" w:cs="Arial" w:eastAsia="Arial" w:hAnsi="Arial"/>
          <w:sz w:val="18"/>
          <w:szCs w:val="18"/>
          <w:color w:val="auto"/>
        </w:rPr>
        <w:t>99.2</w:t>
      </w:r>
      <w:hyperlink w:anchor="page23">
        <w:r>
          <w:rPr>
            <w:rFonts w:ascii="Arial" w:cs="Arial" w:eastAsia="Arial" w:hAnsi="Arial"/>
            <w:sz w:val="18"/>
            <w:szCs w:val="18"/>
            <w:u w:val="single" w:color="auto"/>
            <w:color w:val="0000EE"/>
          </w:rPr>
          <w:t>Unaudited condensed consolidated financial statements of SiriusDecisions as of December 31, 2018 and March 31, 2018, and for the nine</w:t>
        </w:r>
      </w:hyperlink>
      <w:r>
        <w:rPr>
          <w:rFonts w:ascii="Arial" w:cs="Arial" w:eastAsia="Arial" w:hAnsi="Arial"/>
          <w:sz w:val="18"/>
          <w:szCs w:val="18"/>
          <w:u w:val="single" w:color="auto"/>
          <w:color w:val="0000EE"/>
        </w:rPr>
        <w:t xml:space="preserve"> </w:t>
      </w:r>
      <w:hyperlink w:anchor="page23">
        <w:r>
          <w:rPr>
            <w:rFonts w:ascii="Arial" w:cs="Arial" w:eastAsia="Arial" w:hAnsi="Arial"/>
            <w:sz w:val="18"/>
            <w:szCs w:val="18"/>
            <w:u w:val="single" w:color="auto"/>
            <w:color w:val="0000EE"/>
          </w:rPr>
          <w:t>months ended December 31, 2018 and 2017, and the notes related thereto.</w:t>
        </w:r>
      </w:hyperlink>
    </w:p>
    <w:p>
      <w:pPr>
        <w:spacing w:after="0" w:line="62" w:lineRule="exact"/>
        <w:rPr>
          <w:rFonts w:ascii="Arial" w:cs="Arial" w:eastAsia="Arial" w:hAnsi="Arial"/>
          <w:sz w:val="18"/>
          <w:szCs w:val="18"/>
          <w:u w:val="single" w:color="auto"/>
          <w:color w:val="0000EE"/>
        </w:rPr>
      </w:pPr>
    </w:p>
    <w:p>
      <w:pPr>
        <w:ind w:left="1000" w:hanging="729"/>
        <w:spacing w:after="0" w:line="277" w:lineRule="auto"/>
        <w:rPr>
          <w:rFonts w:ascii="Arial" w:cs="Arial" w:eastAsia="Arial" w:hAnsi="Arial"/>
          <w:sz w:val="18"/>
          <w:szCs w:val="18"/>
          <w:u w:val="single" w:color="auto"/>
          <w:color w:val="0000EE"/>
        </w:rPr>
      </w:pPr>
      <w:r>
        <w:rPr>
          <w:rFonts w:ascii="Arial" w:cs="Arial" w:eastAsia="Arial" w:hAnsi="Arial"/>
          <w:sz w:val="18"/>
          <w:szCs w:val="18"/>
          <w:color w:val="auto"/>
        </w:rPr>
        <w:t>99.3</w:t>
      </w:r>
      <w:hyperlink w:anchor="page35">
        <w:r>
          <w:rPr>
            <w:rFonts w:ascii="Arial" w:cs="Arial" w:eastAsia="Arial" w:hAnsi="Arial"/>
            <w:sz w:val="18"/>
            <w:szCs w:val="18"/>
            <w:u w:val="single" w:color="auto"/>
            <w:color w:val="0000EE"/>
          </w:rPr>
          <w:t>Unaudited pro forma combined balance sheet as of December 31, 2018 and unaudited pro forma combined statement of operations for the</w:t>
        </w:r>
      </w:hyperlink>
      <w:r>
        <w:rPr>
          <w:rFonts w:ascii="Arial" w:cs="Arial" w:eastAsia="Arial" w:hAnsi="Arial"/>
          <w:sz w:val="18"/>
          <w:szCs w:val="18"/>
          <w:u w:val="single" w:color="auto"/>
          <w:color w:val="0000EE"/>
        </w:rPr>
        <w:t xml:space="preserve"> </w:t>
      </w:r>
      <w:hyperlink w:anchor="page35">
        <w:r>
          <w:rPr>
            <w:rFonts w:ascii="Arial" w:cs="Arial" w:eastAsia="Arial" w:hAnsi="Arial"/>
            <w:sz w:val="18"/>
            <w:szCs w:val="18"/>
            <w:u w:val="single" w:color="auto"/>
            <w:color w:val="0000EE"/>
          </w:rPr>
          <w:t>year ended December 31, 2018.</w:t>
        </w:r>
      </w:hyperlink>
    </w:p>
    <w:p>
      <w:pPr>
        <w:sectPr>
          <w:pgSz w:w="11900" w:h="16838" w:orient="portrait"/>
          <w:cols w:equalWidth="0" w:num="1">
            <w:col w:w="10940"/>
          </w:cols>
          <w:pgMar w:left="440" w:top="270" w:right="519" w:bottom="1440" w:gutter="0" w:footer="0" w:header="0"/>
        </w:sectPr>
      </w:pPr>
    </w:p>
    <w:bookmarkStart w:id="2" w:name="page3"/>
    <w:bookmarkEnd w:id="2"/>
    <w:p>
      <w:pPr>
        <w:jc w:val="center"/>
        <w:ind w:right="-299"/>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SIGNATURES</w:t>
      </w:r>
    </w:p>
    <w:p>
      <w:pPr>
        <w:spacing w:after="0" w:line="225" w:lineRule="exact"/>
        <w:rPr>
          <w:sz w:val="20"/>
          <w:szCs w:val="20"/>
          <w:color w:val="auto"/>
        </w:rPr>
      </w:pPr>
    </w:p>
    <w:p>
      <w:pPr>
        <w:ind w:firstLine="441"/>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color w:val="auto"/>
        </w:rPr>
        <w:t>FORRESTER RESEARCH, INC.</w:t>
      </w:r>
    </w:p>
    <w:p>
      <w:pPr>
        <w:spacing w:after="0" w:line="225" w:lineRule="exact"/>
        <w:rPr>
          <w:sz w:val="20"/>
          <w:szCs w:val="20"/>
          <w:color w:val="auto"/>
        </w:rPr>
      </w:pPr>
    </w:p>
    <w:p>
      <w:pPr>
        <w:spacing w:after="0"/>
        <w:tabs>
          <w:tab w:leader="none" w:pos="56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Michael A. Doyle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203835</wp:posOffset>
            </wp:positionH>
            <wp:positionV relativeFrom="paragraph">
              <wp:posOffset>14605</wp:posOffset>
            </wp:positionV>
            <wp:extent cx="259842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2598420" cy="8890"/>
                    </a:xfrm>
                    <a:prstGeom prst="rect">
                      <a:avLst/>
                    </a:prstGeom>
                    <a:noFill/>
                  </pic:spPr>
                </pic:pic>
              </a:graphicData>
            </a:graphic>
          </wp:anchor>
        </w:drawing>
      </w:r>
    </w:p>
    <w:p>
      <w:pPr>
        <w:spacing w:after="0" w:line="16" w:lineRule="exact"/>
        <w:rPr>
          <w:sz w:val="20"/>
          <w:szCs w:val="20"/>
          <w:color w:val="auto"/>
        </w:rPr>
      </w:pPr>
    </w:p>
    <w:p>
      <w:pPr>
        <w:ind w:left="580"/>
        <w:spacing w:after="0"/>
        <w:rPr>
          <w:sz w:val="20"/>
          <w:szCs w:val="20"/>
          <w:color w:val="auto"/>
        </w:rPr>
      </w:pPr>
      <w:r>
        <w:rPr>
          <w:rFonts w:ascii="Arial" w:cs="Arial" w:eastAsia="Arial" w:hAnsi="Arial"/>
          <w:sz w:val="18"/>
          <w:szCs w:val="18"/>
          <w:color w:val="auto"/>
        </w:rPr>
        <w:t>Name: Michael A. Doyle</w:t>
      </w:r>
    </w:p>
    <w:p>
      <w:pPr>
        <w:spacing w:after="0" w:line="23" w:lineRule="exact"/>
        <w:rPr>
          <w:sz w:val="20"/>
          <w:szCs w:val="20"/>
          <w:color w:val="auto"/>
        </w:rPr>
      </w:pPr>
    </w:p>
    <w:p>
      <w:pPr>
        <w:ind w:left="580"/>
        <w:spacing w:after="0"/>
        <w:rPr>
          <w:sz w:val="20"/>
          <w:szCs w:val="20"/>
          <w:color w:val="auto"/>
        </w:rPr>
      </w:pPr>
      <w:r>
        <w:rPr>
          <w:rFonts w:ascii="Arial" w:cs="Arial" w:eastAsia="Arial" w:hAnsi="Arial"/>
          <w:sz w:val="18"/>
          <w:szCs w:val="18"/>
          <w:color w:val="auto"/>
        </w:rPr>
        <w:t>Title: Chief Financial Officer</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Date: March 21, 2019</w:t>
      </w:r>
    </w:p>
    <w:p>
      <w:pPr>
        <w:sectPr>
          <w:pgSz w:w="11900" w:h="16838" w:orient="portrait"/>
          <w:cols w:equalWidth="0" w:num="1">
            <w:col w:w="10720"/>
          </w:cols>
          <w:pgMar w:left="440" w:top="274" w:right="739" w:bottom="1440" w:gutter="0" w:footer="0" w:header="0"/>
        </w:sectPr>
      </w:pPr>
    </w:p>
    <w:bookmarkStart w:id="3" w:name="page4"/>
    <w:bookmarkEnd w:id="3"/>
    <w:p>
      <w:pPr>
        <w:jc w:val="right"/>
        <w:spacing w:after="0"/>
        <w:rPr>
          <w:sz w:val="20"/>
          <w:szCs w:val="20"/>
          <w:color w:val="auto"/>
        </w:rPr>
      </w:pPr>
      <w:r>
        <w:rPr>
          <w:rFonts w:ascii="Arial" w:cs="Arial" w:eastAsia="Arial" w:hAnsi="Arial"/>
          <w:sz w:val="18"/>
          <w:szCs w:val="18"/>
          <w:b w:val="1"/>
          <w:bCs w:val="1"/>
          <w:color w:val="auto"/>
        </w:rPr>
        <w:t>EXHIBIT 23.1</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Consent of Independent Auditor</w:t>
      </w:r>
    </w:p>
    <w:p>
      <w:pPr>
        <w:spacing w:after="0" w:line="229" w:lineRule="exact"/>
        <w:rPr>
          <w:sz w:val="20"/>
          <w:szCs w:val="20"/>
          <w:color w:val="auto"/>
        </w:rPr>
      </w:pPr>
    </w:p>
    <w:p>
      <w:pPr>
        <w:ind w:right="180"/>
        <w:spacing w:after="0" w:line="264" w:lineRule="auto"/>
        <w:rPr>
          <w:sz w:val="20"/>
          <w:szCs w:val="20"/>
          <w:color w:val="auto"/>
        </w:rPr>
      </w:pPr>
      <w:r>
        <w:rPr>
          <w:rFonts w:ascii="Arial" w:cs="Arial" w:eastAsia="Arial" w:hAnsi="Arial"/>
          <w:sz w:val="18"/>
          <w:szCs w:val="18"/>
          <w:color w:val="auto"/>
        </w:rPr>
        <w:t>We hereby consent to the incorporation by reference in the Registration Statements on Form S-8 (Nos. 333-225817, 333-189089, 333-159563, 333-136109, 333-16905, 333-99749, and 333-214359) of Forrester Research, Inc. of our report dated July 25, 2018 relating to the financial statements of SiriusDecisions, Inc., which appears in this Current Report on Form 8-K.</w:t>
      </w: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color w:val="auto"/>
        </w:rPr>
        <w:t>/s/ PricewaterhouseCoopers LLP</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Stamford, Connecticut</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March 21, 2019</w:t>
      </w:r>
    </w:p>
    <w:p>
      <w:pPr>
        <w:sectPr>
          <w:pgSz w:w="11900" w:h="16838" w:orient="portrait"/>
          <w:cols w:equalWidth="0" w:num="1">
            <w:col w:w="11020"/>
          </w:cols>
          <w:pgMar w:left="440" w:top="121" w:right="439" w:bottom="1440" w:gutter="0" w:footer="0" w:header="0"/>
        </w:sectPr>
      </w:pPr>
    </w:p>
    <w:bookmarkStart w:id="4" w:name="page5"/>
    <w:bookmarkEnd w:id="4"/>
    <w:p>
      <w:pPr>
        <w:jc w:val="right"/>
        <w:spacing w:after="0"/>
        <w:rPr>
          <w:sz w:val="20"/>
          <w:szCs w:val="20"/>
          <w:color w:val="auto"/>
        </w:rPr>
      </w:pPr>
      <w:r>
        <w:rPr>
          <w:rFonts w:ascii="Arial" w:cs="Arial" w:eastAsia="Arial" w:hAnsi="Arial"/>
          <w:sz w:val="18"/>
          <w:szCs w:val="18"/>
          <w:b w:val="1"/>
          <w:bCs w:val="1"/>
          <w:color w:val="auto"/>
        </w:rPr>
        <w:t>Exhibit 99.1</w:t>
      </w: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SiriusDecisions, Inc. and Subsidiaries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Consolidated Financial Statements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March 31, 2018 and 2017</w:t>
      </w:r>
    </w:p>
    <w:p>
      <w:pPr>
        <w:sectPr>
          <w:pgSz w:w="11900" w:h="16838" w:orient="portrait"/>
          <w:cols w:equalWidth="0" w:num="1">
            <w:col w:w="11020"/>
          </w:cols>
          <w:pgMar w:left="440" w:top="121" w:right="439" w:bottom="1440" w:gutter="0" w:footer="0" w:header="0"/>
        </w:sectPr>
      </w:pPr>
    </w:p>
    <w:bookmarkStart w:id="5" w:name="page6"/>
    <w:bookmarkEnd w:id="5"/>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SiriusDecisions, Inc. and Subsidiaries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Index</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March 31, 2018 and 2017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14605</wp:posOffset>
            </wp:positionV>
            <wp:extent cx="6997700"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6997700" cy="8890"/>
                    </a:xfrm>
                    <a:prstGeom prst="rect">
                      <a:avLst/>
                    </a:prstGeom>
                    <a:noFill/>
                  </pic:spPr>
                </pic:pic>
              </a:graphicData>
            </a:graphic>
          </wp:anchor>
        </w:drawing>
      </w:r>
    </w:p>
    <w:p>
      <w:pPr>
        <w:spacing w:after="0" w:line="27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300" w:type="dxa"/>
            <w:vAlign w:val="bottom"/>
            <w:vMerge w:val="restart"/>
          </w:tcPr>
          <w:p>
            <w:pPr>
              <w:spacing w:after="0"/>
              <w:rPr>
                <w:sz w:val="20"/>
                <w:szCs w:val="20"/>
                <w:color w:val="auto"/>
              </w:rPr>
            </w:pPr>
            <w:r>
              <w:rPr>
                <w:rFonts w:ascii="Arial" w:cs="Arial" w:eastAsia="Arial" w:hAnsi="Arial"/>
                <w:sz w:val="18"/>
                <w:szCs w:val="18"/>
                <w:b w:val="1"/>
                <w:bCs w:val="1"/>
                <w:color w:val="auto"/>
              </w:rPr>
              <w:t>Report of Independent Auditors</w:t>
            </w:r>
          </w:p>
        </w:tc>
        <w:tc>
          <w:tcPr>
            <w:tcW w:w="2680" w:type="dxa"/>
            <w:vAlign w:val="bottom"/>
          </w:tcPr>
          <w:p>
            <w:pPr>
              <w:jc w:val="right"/>
              <w:spacing w:after="0"/>
              <w:rPr>
                <w:sz w:val="20"/>
                <w:szCs w:val="20"/>
                <w:color w:val="auto"/>
              </w:rPr>
            </w:pPr>
            <w:r>
              <w:rPr>
                <w:rFonts w:ascii="Arial" w:cs="Arial" w:eastAsia="Arial" w:hAnsi="Arial"/>
                <w:sz w:val="14"/>
                <w:szCs w:val="14"/>
                <w:b w:val="1"/>
                <w:bCs w:val="1"/>
                <w:color w:val="auto"/>
              </w:rPr>
              <w:t>Page(s)</w:t>
            </w:r>
          </w:p>
        </w:tc>
        <w:tc>
          <w:tcPr>
            <w:tcW w:w="0" w:type="dxa"/>
            <w:vAlign w:val="bottom"/>
          </w:tcPr>
          <w:p>
            <w:pPr>
              <w:spacing w:after="0"/>
              <w:rPr>
                <w:sz w:val="1"/>
                <w:szCs w:val="1"/>
                <w:color w:val="auto"/>
              </w:rPr>
            </w:pPr>
          </w:p>
        </w:tc>
      </w:tr>
      <w:tr>
        <w:trPr>
          <w:trHeight w:val="212"/>
        </w:trPr>
        <w:tc>
          <w:tcPr>
            <w:tcW w:w="8300" w:type="dxa"/>
            <w:vAlign w:val="bottom"/>
            <w:vMerge w:val="continue"/>
          </w:tcPr>
          <w:p>
            <w:pPr>
              <w:spacing w:after="0"/>
              <w:rPr>
                <w:sz w:val="18"/>
                <w:szCs w:val="18"/>
                <w:color w:val="auto"/>
              </w:rPr>
            </w:pPr>
          </w:p>
        </w:tc>
        <w:tc>
          <w:tcPr>
            <w:tcW w:w="2680" w:type="dxa"/>
            <w:vAlign w:val="bottom"/>
          </w:tcPr>
          <w:p>
            <w:pPr>
              <w:jc w:val="right"/>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20"/>
        </w:trPr>
        <w:tc>
          <w:tcPr>
            <w:tcW w:w="8300" w:type="dxa"/>
            <w:vAlign w:val="bottom"/>
          </w:tcPr>
          <w:p>
            <w:pPr>
              <w:spacing w:after="0"/>
              <w:rPr>
                <w:sz w:val="20"/>
                <w:szCs w:val="20"/>
                <w:color w:val="auto"/>
              </w:rPr>
            </w:pPr>
            <w:r>
              <w:rPr>
                <w:rFonts w:ascii="Arial" w:cs="Arial" w:eastAsia="Arial" w:hAnsi="Arial"/>
                <w:sz w:val="18"/>
                <w:szCs w:val="18"/>
                <w:b w:val="1"/>
                <w:bCs w:val="1"/>
                <w:color w:val="auto"/>
              </w:rPr>
              <w:t>Consolidated Financial Statements</w:t>
            </w:r>
          </w:p>
        </w:tc>
        <w:tc>
          <w:tcPr>
            <w:tcW w:w="26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8300" w:type="dxa"/>
            <w:vAlign w:val="bottom"/>
          </w:tcPr>
          <w:p>
            <w:pPr>
              <w:spacing w:after="0"/>
              <w:rPr>
                <w:sz w:val="20"/>
                <w:szCs w:val="20"/>
                <w:color w:val="auto"/>
              </w:rPr>
            </w:pPr>
            <w:r>
              <w:rPr>
                <w:rFonts w:ascii="Arial" w:cs="Arial" w:eastAsia="Arial" w:hAnsi="Arial"/>
                <w:sz w:val="18"/>
                <w:szCs w:val="18"/>
                <w:color w:val="auto"/>
              </w:rPr>
              <w:t>Balance Sheets</w:t>
            </w:r>
          </w:p>
        </w:tc>
        <w:tc>
          <w:tcPr>
            <w:tcW w:w="2680" w:type="dxa"/>
            <w:vAlign w:val="bottom"/>
          </w:tcPr>
          <w:p>
            <w:pPr>
              <w:jc w:val="right"/>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16"/>
        </w:trPr>
        <w:tc>
          <w:tcPr>
            <w:tcW w:w="8300" w:type="dxa"/>
            <w:vAlign w:val="bottom"/>
          </w:tcPr>
          <w:p>
            <w:pPr>
              <w:spacing w:after="0"/>
              <w:rPr>
                <w:sz w:val="20"/>
                <w:szCs w:val="20"/>
                <w:color w:val="auto"/>
              </w:rPr>
            </w:pPr>
            <w:r>
              <w:rPr>
                <w:rFonts w:ascii="Arial" w:cs="Arial" w:eastAsia="Arial" w:hAnsi="Arial"/>
                <w:sz w:val="18"/>
                <w:szCs w:val="18"/>
                <w:color w:val="auto"/>
              </w:rPr>
              <w:t>Statements of Operations and Comprehensive Loss</w:t>
            </w:r>
          </w:p>
        </w:tc>
        <w:tc>
          <w:tcPr>
            <w:tcW w:w="2680" w:type="dxa"/>
            <w:vAlign w:val="bottom"/>
          </w:tcPr>
          <w:p>
            <w:pPr>
              <w:jc w:val="right"/>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16"/>
        </w:trPr>
        <w:tc>
          <w:tcPr>
            <w:tcW w:w="8300" w:type="dxa"/>
            <w:vAlign w:val="bottom"/>
          </w:tcPr>
          <w:p>
            <w:pPr>
              <w:spacing w:after="0"/>
              <w:rPr>
                <w:sz w:val="20"/>
                <w:szCs w:val="20"/>
                <w:color w:val="auto"/>
              </w:rPr>
            </w:pPr>
            <w:r>
              <w:rPr>
                <w:rFonts w:ascii="Arial" w:cs="Arial" w:eastAsia="Arial" w:hAnsi="Arial"/>
                <w:sz w:val="18"/>
                <w:szCs w:val="18"/>
                <w:color w:val="auto"/>
              </w:rPr>
              <w:t>Statements of Changes in Convertible Preferred Stock and Stockholders’ Deficiency</w:t>
            </w:r>
          </w:p>
        </w:tc>
        <w:tc>
          <w:tcPr>
            <w:tcW w:w="2680" w:type="dxa"/>
            <w:vAlign w:val="bottom"/>
          </w:tcPr>
          <w:p>
            <w:pPr>
              <w:jc w:val="right"/>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16"/>
        </w:trPr>
        <w:tc>
          <w:tcPr>
            <w:tcW w:w="8300" w:type="dxa"/>
            <w:vAlign w:val="bottom"/>
          </w:tcPr>
          <w:p>
            <w:pPr>
              <w:spacing w:after="0"/>
              <w:rPr>
                <w:sz w:val="20"/>
                <w:szCs w:val="20"/>
                <w:color w:val="auto"/>
              </w:rPr>
            </w:pPr>
            <w:r>
              <w:rPr>
                <w:rFonts w:ascii="Arial" w:cs="Arial" w:eastAsia="Arial" w:hAnsi="Arial"/>
                <w:sz w:val="18"/>
                <w:szCs w:val="18"/>
                <w:color w:val="auto"/>
              </w:rPr>
              <w:t>Statements of Cash Flows</w:t>
            </w:r>
          </w:p>
        </w:tc>
        <w:tc>
          <w:tcPr>
            <w:tcW w:w="2680" w:type="dxa"/>
            <w:vAlign w:val="bottom"/>
          </w:tcPr>
          <w:p>
            <w:pPr>
              <w:jc w:val="right"/>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30"/>
        </w:trPr>
        <w:tc>
          <w:tcPr>
            <w:tcW w:w="8300" w:type="dxa"/>
            <w:vAlign w:val="bottom"/>
          </w:tcPr>
          <w:p>
            <w:pPr>
              <w:spacing w:after="0"/>
              <w:rPr>
                <w:sz w:val="20"/>
                <w:szCs w:val="20"/>
                <w:color w:val="auto"/>
              </w:rPr>
            </w:pPr>
            <w:r>
              <w:rPr>
                <w:rFonts w:ascii="Arial" w:cs="Arial" w:eastAsia="Arial" w:hAnsi="Arial"/>
                <w:sz w:val="18"/>
                <w:szCs w:val="18"/>
                <w:color w:val="auto"/>
              </w:rPr>
              <w:t>Notes to Financial Statements</w:t>
            </w:r>
          </w:p>
        </w:tc>
        <w:tc>
          <w:tcPr>
            <w:tcW w:w="2680" w:type="dxa"/>
            <w:vAlign w:val="bottom"/>
          </w:tcPr>
          <w:p>
            <w:pPr>
              <w:jc w:val="right"/>
              <w:spacing w:after="0"/>
              <w:rPr>
                <w:sz w:val="20"/>
                <w:szCs w:val="20"/>
                <w:color w:val="auto"/>
              </w:rPr>
            </w:pPr>
            <w:r>
              <w:rPr>
                <w:rFonts w:ascii="Arial" w:cs="Arial" w:eastAsia="Arial" w:hAnsi="Arial"/>
                <w:sz w:val="18"/>
                <w:szCs w:val="18"/>
                <w:color w:val="auto"/>
              </w:rPr>
              <w:t>6–16</w:t>
            </w:r>
          </w:p>
        </w:tc>
        <w:tc>
          <w:tcPr>
            <w:tcW w:w="0" w:type="dxa"/>
            <w:vAlign w:val="bottom"/>
          </w:tcPr>
          <w:p>
            <w:pPr>
              <w:spacing w:after="0"/>
              <w:rPr>
                <w:sz w:val="1"/>
                <w:szCs w:val="1"/>
                <w:color w:val="auto"/>
              </w:rPr>
            </w:pPr>
          </w:p>
        </w:tc>
      </w:tr>
    </w:tbl>
    <w:p>
      <w:pPr>
        <w:sectPr>
          <w:pgSz w:w="11900" w:h="16838" w:orient="portrait"/>
          <w:cols w:equalWidth="0" w:num="1">
            <w:col w:w="10980"/>
          </w:cols>
          <w:pgMar w:left="440" w:top="270" w:right="479" w:bottom="1440" w:gutter="0" w:footer="0" w:header="0"/>
        </w:sectPr>
      </w:pPr>
    </w:p>
    <w:bookmarkStart w:id="6" w:name="page7"/>
    <w:bookmarkEnd w:id="6"/>
    <w:p>
      <w:pPr>
        <w:ind w:left="428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89165" cy="38735"/>
                    </a:xfrm>
                    <a:prstGeom prst="rect">
                      <a:avLst/>
                    </a:prstGeom>
                    <a:noFill/>
                  </pic:spPr>
                </pic:pic>
              </a:graphicData>
            </a:graphic>
          </wp:anchor>
        </w:drawing>
        <w:t>Report of Independent Auditors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To Management and the Board of Directors of SiriusDecisions, Inc.</w:t>
      </w:r>
    </w:p>
    <w:p>
      <w:pPr>
        <w:spacing w:after="0" w:line="225" w:lineRule="exact"/>
        <w:rPr>
          <w:sz w:val="20"/>
          <w:szCs w:val="20"/>
          <w:color w:val="auto"/>
        </w:rPr>
      </w:pPr>
    </w:p>
    <w:p>
      <w:pPr>
        <w:ind w:right="180"/>
        <w:spacing w:after="0" w:line="264" w:lineRule="auto"/>
        <w:rPr>
          <w:sz w:val="20"/>
          <w:szCs w:val="20"/>
          <w:color w:val="auto"/>
        </w:rPr>
      </w:pPr>
      <w:r>
        <w:rPr>
          <w:rFonts w:ascii="Arial" w:cs="Arial" w:eastAsia="Arial" w:hAnsi="Arial"/>
          <w:sz w:val="18"/>
          <w:szCs w:val="18"/>
          <w:color w:val="auto"/>
        </w:rPr>
        <w:t>We have audited the accompanying consolidated financial statements of SiriusDecisions, Inc. and its subsidiaries, which comprise the consolidated balance sheet as of March 31, 2018 and 2017, and the related consolidated statements of operations and comprehensive loss, of changes in convertible preferred stock and stockholders’ deficiency, and cash flows for the years then ended.</w:t>
      </w: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Management’s Responsibility for the Consolidated Financial Statements</w:t>
      </w:r>
    </w:p>
    <w:p>
      <w:pPr>
        <w:spacing w:after="0" w:line="117" w:lineRule="exact"/>
        <w:rPr>
          <w:sz w:val="20"/>
          <w:szCs w:val="20"/>
          <w:color w:val="auto"/>
        </w:rPr>
      </w:pPr>
    </w:p>
    <w:p>
      <w:pPr>
        <w:ind w:right="220"/>
        <w:spacing w:after="0" w:line="312" w:lineRule="auto"/>
        <w:rPr>
          <w:sz w:val="20"/>
          <w:szCs w:val="20"/>
          <w:color w:val="auto"/>
        </w:rPr>
      </w:pPr>
      <w:r>
        <w:rPr>
          <w:rFonts w:ascii="Arial" w:cs="Arial" w:eastAsia="Arial" w:hAnsi="Arial"/>
          <w:sz w:val="16"/>
          <w:szCs w:val="16"/>
          <w:color w:val="auto"/>
        </w:rPr>
        <w:t>Management is responsible for the preparation and fair presentation of the consolidated financial statements in accordance with accounting principles generally accepted in the United States of America; this includes the design, implementation, and maintenance of internal control relevant to the preparation and fair presentation of consolidated financial statements that are free from material misstatement, whether due to fraud or error.</w:t>
      </w:r>
    </w:p>
    <w:p>
      <w:pPr>
        <w:spacing w:after="0" w:line="25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Auditors’ Responsibility</w:t>
      </w:r>
    </w:p>
    <w:p>
      <w:pPr>
        <w:spacing w:after="0" w:line="117" w:lineRule="exact"/>
        <w:rPr>
          <w:sz w:val="20"/>
          <w:szCs w:val="20"/>
          <w:color w:val="auto"/>
        </w:rPr>
      </w:pPr>
    </w:p>
    <w:p>
      <w:pPr>
        <w:ind w:right="140"/>
        <w:spacing w:after="0" w:line="286" w:lineRule="auto"/>
        <w:rPr>
          <w:sz w:val="20"/>
          <w:szCs w:val="20"/>
          <w:color w:val="auto"/>
        </w:rPr>
      </w:pPr>
      <w:r>
        <w:rPr>
          <w:rFonts w:ascii="Arial" w:cs="Arial" w:eastAsia="Arial" w:hAnsi="Arial"/>
          <w:sz w:val="17"/>
          <w:szCs w:val="17"/>
          <w:color w:val="auto"/>
        </w:rPr>
        <w:t>Our responsibility is to express an opinion on the consolidated financial statements based on our audit. We conducted our audit in accordance with auditing standards generally accepted in the United States of America. Those standards require that we plan and perform the audit to obtain reasonable assurance about whether the consolidated financial statements are free from material misstatement.</w:t>
      </w:r>
    </w:p>
    <w:p>
      <w:pPr>
        <w:spacing w:after="0" w:line="166" w:lineRule="exact"/>
        <w:rPr>
          <w:sz w:val="20"/>
          <w:szCs w:val="20"/>
          <w:color w:val="auto"/>
        </w:rPr>
      </w:pPr>
    </w:p>
    <w:p>
      <w:pPr>
        <w:spacing w:after="0" w:line="271" w:lineRule="auto"/>
        <w:rPr>
          <w:sz w:val="20"/>
          <w:szCs w:val="20"/>
          <w:color w:val="auto"/>
        </w:rPr>
      </w:pPr>
      <w:r>
        <w:rPr>
          <w:rFonts w:ascii="Arial" w:cs="Arial" w:eastAsia="Arial" w:hAnsi="Arial"/>
          <w:sz w:val="17"/>
          <w:szCs w:val="17"/>
          <w:color w:val="auto"/>
        </w:rPr>
        <w:t>An audit involves performing procedures to obtain audit evidence about the amounts and disclosures in the consolidated financial statements. The procedures selected depend on our judgment, including the assessment of the risks of material misstatement of the consolidated financial statements, whether due to fraud or error. In making those risk assessments, we consider internal control relevant to the Company’s preparation and fair presentation of the consolidated financial statements in order to design audit procedures that are appropriate in the circumstances, but not for the purpose of expressing an opinion on the effectiveness of the Company’s internal control. Accordingly, we express no such opinion. An audit also includes evaluating the appropriateness of accounting policies used and the reasonableness of significant accounting estimates made by management, as well as evaluating the overall presentation of the consolidated financial statements. We believe that the audit evidence we have obtained is sufficient and appropriate to provide a basis for our audit opinion.</w:t>
      </w:r>
    </w:p>
    <w:p>
      <w:pPr>
        <w:spacing w:after="0" w:line="2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Opinion</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In our opinion, the consolidated financial statements referred to above present fairly, in all material respects, the financial position of</w:t>
      </w:r>
    </w:p>
    <w:p>
      <w:pPr>
        <w:spacing w:after="0" w:line="23" w:lineRule="exact"/>
        <w:rPr>
          <w:sz w:val="20"/>
          <w:szCs w:val="20"/>
          <w:color w:val="auto"/>
        </w:rPr>
      </w:pPr>
    </w:p>
    <w:p>
      <w:pPr>
        <w:ind w:right="40"/>
        <w:spacing w:after="0" w:line="261" w:lineRule="auto"/>
        <w:rPr>
          <w:sz w:val="20"/>
          <w:szCs w:val="20"/>
          <w:color w:val="auto"/>
        </w:rPr>
      </w:pPr>
      <w:r>
        <w:rPr>
          <w:rFonts w:ascii="Arial" w:cs="Arial" w:eastAsia="Arial" w:hAnsi="Arial"/>
          <w:sz w:val="18"/>
          <w:szCs w:val="18"/>
          <w:color w:val="auto"/>
        </w:rPr>
        <w:t>SiriusDecisons, Inc. and its subsidiaries as of March 31, 2018, and 2017, and the results of their operations and their cash flows for the years then ended in accordance with accounting principles generally accepted in the United States of America.</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color w:val="auto"/>
        </w:rPr>
        <w:t>/s/ PricewaterhouseCoopers LLP</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Stamford, Connecticut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July 25, 2018</w:t>
      </w:r>
    </w:p>
    <w:p>
      <w:pPr>
        <w:sectPr>
          <w:pgSz w:w="11900" w:h="16838" w:orient="portrait"/>
          <w:cols w:equalWidth="0" w:num="1">
            <w:col w:w="11000"/>
          </w:cols>
          <w:pgMar w:left="440" w:top="270" w:right="459" w:bottom="1440" w:gutter="0" w:footer="0" w:header="0"/>
        </w:sectPr>
      </w:pPr>
    </w:p>
    <w:bookmarkStart w:id="7" w:name="page8"/>
    <w:bookmarkEnd w:id="7"/>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SiriusDecisions, Inc. and Subsidiaries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Consolidated Balance Sheets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March 31, 2018 and 2017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14605</wp:posOffset>
            </wp:positionV>
            <wp:extent cx="6997700"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6997700" cy="8890"/>
                    </a:xfrm>
                    <a:prstGeom prst="rect">
                      <a:avLst/>
                    </a:prstGeom>
                    <a:noFill/>
                  </pic:spPr>
                </pic:pic>
              </a:graphicData>
            </a:graphic>
          </wp:anchor>
        </w:drawing>
      </w:r>
    </w:p>
    <w:p>
      <w:pPr>
        <w:spacing w:after="0" w:line="277"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8620" w:type="dxa"/>
            <w:vAlign w:val="bottom"/>
          </w:tcPr>
          <w:p>
            <w:pPr>
              <w:spacing w:after="0"/>
              <w:rPr>
                <w:sz w:val="14"/>
                <w:szCs w:val="14"/>
                <w:color w:val="auto"/>
              </w:rPr>
            </w:pPr>
          </w:p>
        </w:tc>
        <w:tc>
          <w:tcPr>
            <w:tcW w:w="980" w:type="dxa"/>
            <w:vAlign w:val="bottom"/>
            <w:gridSpan w:val="2"/>
          </w:tcPr>
          <w:p>
            <w:pPr>
              <w:jc w:val="right"/>
              <w:ind w:right="250"/>
              <w:spacing w:after="0"/>
              <w:rPr>
                <w:sz w:val="20"/>
                <w:szCs w:val="20"/>
                <w:color w:val="auto"/>
              </w:rPr>
            </w:pPr>
            <w:r>
              <w:rPr>
                <w:rFonts w:ascii="Arial" w:cs="Arial" w:eastAsia="Arial" w:hAnsi="Arial"/>
                <w:sz w:val="14"/>
                <w:szCs w:val="14"/>
                <w:b w:val="1"/>
                <w:bCs w:val="1"/>
                <w:color w:val="auto"/>
              </w:rPr>
              <w:t>2018</w:t>
            </w:r>
          </w:p>
        </w:tc>
        <w:tc>
          <w:tcPr>
            <w:tcW w:w="2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80" w:type="dxa"/>
            <w:vAlign w:val="bottom"/>
          </w:tcPr>
          <w:p>
            <w:pPr>
              <w:jc w:val="right"/>
              <w:ind w:right="251"/>
              <w:spacing w:after="0"/>
              <w:rPr>
                <w:sz w:val="20"/>
                <w:szCs w:val="20"/>
                <w:color w:val="auto"/>
              </w:rPr>
            </w:pPr>
            <w:r>
              <w:rPr>
                <w:rFonts w:ascii="Arial" w:cs="Arial" w:eastAsia="Arial" w:hAnsi="Arial"/>
                <w:sz w:val="14"/>
                <w:szCs w:val="14"/>
                <w:b w:val="1"/>
                <w:bCs w:val="1"/>
                <w:color w:val="auto"/>
              </w:rPr>
              <w:t>2017</w:t>
            </w:r>
          </w:p>
        </w:tc>
        <w:tc>
          <w:tcPr>
            <w:tcW w:w="120" w:type="dxa"/>
            <w:vAlign w:val="bottom"/>
          </w:tcPr>
          <w:p>
            <w:pPr>
              <w:spacing w:after="0"/>
              <w:rPr>
                <w:sz w:val="14"/>
                <w:szCs w:val="14"/>
                <w:color w:val="auto"/>
              </w:rPr>
            </w:pPr>
          </w:p>
        </w:tc>
      </w:tr>
      <w:tr>
        <w:trPr>
          <w:trHeight w:val="216"/>
        </w:trPr>
        <w:tc>
          <w:tcPr>
            <w:tcW w:w="20" w:type="dxa"/>
            <w:vAlign w:val="bottom"/>
          </w:tcPr>
          <w:p>
            <w:pPr>
              <w:spacing w:after="0"/>
              <w:rPr>
                <w:sz w:val="18"/>
                <w:szCs w:val="18"/>
                <w:color w:val="auto"/>
              </w:rPr>
            </w:pPr>
          </w:p>
        </w:tc>
        <w:tc>
          <w:tcPr>
            <w:tcW w:w="86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Assets</w:t>
            </w:r>
          </w:p>
        </w:tc>
        <w:tc>
          <w:tcPr>
            <w:tcW w:w="2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8620" w:type="dxa"/>
            <w:vAlign w:val="bottom"/>
          </w:tcPr>
          <w:p>
            <w:pPr>
              <w:spacing w:after="0"/>
              <w:rPr>
                <w:sz w:val="20"/>
                <w:szCs w:val="20"/>
                <w:color w:val="auto"/>
              </w:rPr>
            </w:pPr>
            <w:r>
              <w:rPr>
                <w:rFonts w:ascii="Arial" w:cs="Arial" w:eastAsia="Arial" w:hAnsi="Arial"/>
                <w:sz w:val="18"/>
                <w:szCs w:val="18"/>
                <w:color w:val="auto"/>
              </w:rPr>
              <w:t>Current assets</w:t>
            </w:r>
          </w:p>
        </w:tc>
        <w:tc>
          <w:tcPr>
            <w:tcW w:w="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86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Cash and cash equivalents</w:t>
            </w:r>
          </w:p>
        </w:tc>
        <w:tc>
          <w:tcPr>
            <w:tcW w:w="9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1"/>
              </w:rPr>
              <w:t>$ 13,084,181</w:t>
            </w:r>
          </w:p>
        </w:tc>
        <w:tc>
          <w:tcPr>
            <w:tcW w:w="200" w:type="dxa"/>
            <w:vAlign w:val="bottom"/>
            <w:shd w:val="clear" w:color="auto" w:fill="CCEEFF"/>
          </w:tcPr>
          <w:p>
            <w:pPr>
              <w:spacing w:after="0"/>
              <w:rPr>
                <w:sz w:val="18"/>
                <w:szCs w:val="18"/>
                <w:color w:val="auto"/>
              </w:rPr>
            </w:pP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9,265,240</w:t>
            </w:r>
          </w:p>
        </w:tc>
        <w:tc>
          <w:tcPr>
            <w:tcW w:w="120" w:type="dxa"/>
            <w:vAlign w:val="bottom"/>
            <w:shd w:val="clear" w:color="auto" w:fill="CCEEFF"/>
          </w:tcPr>
          <w:p>
            <w:pPr>
              <w:spacing w:after="0"/>
              <w:rPr>
                <w:sz w:val="18"/>
                <w:szCs w:val="18"/>
                <w:color w:val="auto"/>
              </w:rPr>
            </w:pPr>
          </w:p>
        </w:tc>
      </w:tr>
      <w:tr>
        <w:trPr>
          <w:trHeight w:val="202"/>
        </w:trPr>
        <w:tc>
          <w:tcPr>
            <w:tcW w:w="20" w:type="dxa"/>
            <w:vAlign w:val="bottom"/>
          </w:tcPr>
          <w:p>
            <w:pPr>
              <w:spacing w:after="0"/>
              <w:rPr>
                <w:sz w:val="17"/>
                <w:szCs w:val="17"/>
                <w:color w:val="auto"/>
              </w:rPr>
            </w:pPr>
          </w:p>
        </w:tc>
        <w:tc>
          <w:tcPr>
            <w:tcW w:w="8620" w:type="dxa"/>
            <w:vAlign w:val="bottom"/>
          </w:tcPr>
          <w:p>
            <w:pPr>
              <w:ind w:left="340"/>
              <w:spacing w:after="0" w:line="201" w:lineRule="exact"/>
              <w:rPr>
                <w:sz w:val="20"/>
                <w:szCs w:val="20"/>
                <w:color w:val="auto"/>
              </w:rPr>
            </w:pPr>
            <w:r>
              <w:rPr>
                <w:rFonts w:ascii="Arial" w:cs="Arial" w:eastAsia="Arial" w:hAnsi="Arial"/>
                <w:sz w:val="18"/>
                <w:szCs w:val="18"/>
                <w:color w:val="auto"/>
                <w:w w:val="94"/>
              </w:rPr>
              <w:t>Accounts receivable, net of allowance for doubtful accounts of $150,114 and $227,000 at March 31, 2018 and</w:t>
            </w:r>
          </w:p>
        </w:tc>
        <w:tc>
          <w:tcPr>
            <w:tcW w:w="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20" w:type="dxa"/>
            <w:vAlign w:val="bottom"/>
          </w:tcPr>
          <w:p>
            <w:pPr>
              <w:spacing w:after="0"/>
              <w:rPr>
                <w:sz w:val="17"/>
                <w:szCs w:val="17"/>
                <w:color w:val="auto"/>
              </w:rPr>
            </w:pPr>
          </w:p>
        </w:tc>
      </w:tr>
      <w:tr>
        <w:trPr>
          <w:trHeight w:val="230"/>
        </w:trPr>
        <w:tc>
          <w:tcPr>
            <w:tcW w:w="20" w:type="dxa"/>
            <w:vAlign w:val="bottom"/>
          </w:tcPr>
          <w:p>
            <w:pPr>
              <w:spacing w:after="0"/>
              <w:rPr>
                <w:sz w:val="20"/>
                <w:szCs w:val="20"/>
                <w:color w:val="auto"/>
              </w:rPr>
            </w:pPr>
          </w:p>
        </w:tc>
        <w:tc>
          <w:tcPr>
            <w:tcW w:w="8620" w:type="dxa"/>
            <w:vAlign w:val="bottom"/>
          </w:tcPr>
          <w:p>
            <w:pPr>
              <w:ind w:left="520"/>
              <w:spacing w:after="0"/>
              <w:rPr>
                <w:sz w:val="20"/>
                <w:szCs w:val="20"/>
                <w:color w:val="auto"/>
              </w:rPr>
            </w:pPr>
            <w:r>
              <w:rPr>
                <w:rFonts w:ascii="Arial" w:cs="Arial" w:eastAsia="Arial" w:hAnsi="Arial"/>
                <w:sz w:val="18"/>
                <w:szCs w:val="18"/>
                <w:color w:val="auto"/>
              </w:rPr>
              <w:t>2017, respectively</w:t>
            </w:r>
          </w:p>
        </w:tc>
        <w:tc>
          <w:tcPr>
            <w:tcW w:w="980" w:type="dxa"/>
            <w:vAlign w:val="bottom"/>
            <w:gridSpan w:val="2"/>
          </w:tcPr>
          <w:p>
            <w:pPr>
              <w:jc w:val="right"/>
              <w:spacing w:after="0"/>
              <w:rPr>
                <w:sz w:val="20"/>
                <w:szCs w:val="20"/>
                <w:color w:val="auto"/>
              </w:rPr>
            </w:pPr>
            <w:r>
              <w:rPr>
                <w:rFonts w:ascii="Arial" w:cs="Arial" w:eastAsia="Arial" w:hAnsi="Arial"/>
                <w:sz w:val="18"/>
                <w:szCs w:val="18"/>
                <w:color w:val="auto"/>
              </w:rPr>
              <w:t>12,157,601</w:t>
            </w:r>
          </w:p>
        </w:tc>
        <w:tc>
          <w:tcPr>
            <w:tcW w:w="2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9,158,943</w:t>
            </w:r>
          </w:p>
        </w:tc>
        <w:tc>
          <w:tcPr>
            <w:tcW w:w="120" w:type="dxa"/>
            <w:vAlign w:val="bottom"/>
          </w:tcPr>
          <w:p>
            <w:pPr>
              <w:spacing w:after="0"/>
              <w:rPr>
                <w:sz w:val="20"/>
                <w:szCs w:val="20"/>
                <w:color w:val="auto"/>
              </w:rPr>
            </w:pPr>
          </w:p>
        </w:tc>
      </w:tr>
      <w:tr>
        <w:trPr>
          <w:trHeight w:val="216"/>
        </w:trPr>
        <w:tc>
          <w:tcPr>
            <w:tcW w:w="20" w:type="dxa"/>
            <w:vAlign w:val="bottom"/>
          </w:tcPr>
          <w:p>
            <w:pPr>
              <w:spacing w:after="0"/>
              <w:rPr>
                <w:sz w:val="18"/>
                <w:szCs w:val="18"/>
                <w:color w:val="auto"/>
              </w:rPr>
            </w:pPr>
          </w:p>
        </w:tc>
        <w:tc>
          <w:tcPr>
            <w:tcW w:w="86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Prepaid expenses and other</w:t>
            </w:r>
          </w:p>
        </w:tc>
        <w:tc>
          <w:tcPr>
            <w:tcW w:w="9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2,109,057</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2,357,813</w:t>
            </w:r>
          </w:p>
        </w:tc>
        <w:tc>
          <w:tcPr>
            <w:tcW w:w="120" w:type="dxa"/>
            <w:vAlign w:val="bottom"/>
            <w:shd w:val="clear" w:color="auto" w:fill="CCEEFF"/>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8620" w:type="dxa"/>
            <w:vAlign w:val="bottom"/>
          </w:tcPr>
          <w:p>
            <w:pPr>
              <w:ind w:left="700"/>
              <w:spacing w:after="0"/>
              <w:rPr>
                <w:sz w:val="20"/>
                <w:szCs w:val="20"/>
                <w:color w:val="auto"/>
              </w:rPr>
            </w:pPr>
            <w:r>
              <w:rPr>
                <w:rFonts w:ascii="Arial" w:cs="Arial" w:eastAsia="Arial" w:hAnsi="Arial"/>
                <w:sz w:val="18"/>
                <w:szCs w:val="18"/>
                <w:color w:val="auto"/>
              </w:rPr>
              <w:t>Total current assets</w:t>
            </w:r>
          </w:p>
        </w:tc>
        <w:tc>
          <w:tcPr>
            <w:tcW w:w="20" w:type="dxa"/>
            <w:vAlign w:val="bottom"/>
          </w:tcPr>
          <w:p>
            <w:pPr>
              <w:spacing w:after="0"/>
              <w:rPr>
                <w:sz w:val="19"/>
                <w:szCs w:val="19"/>
                <w:color w:val="auto"/>
              </w:rPr>
            </w:pPr>
          </w:p>
        </w:tc>
        <w:tc>
          <w:tcPr>
            <w:tcW w:w="9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27,350,839</w:t>
            </w: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8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5"/>
              </w:rPr>
              <w:t>20,781,996</w:t>
            </w:r>
          </w:p>
        </w:tc>
        <w:tc>
          <w:tcPr>
            <w:tcW w:w="12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8620" w:type="dxa"/>
            <w:vAlign w:val="bottom"/>
            <w:shd w:val="clear" w:color="auto" w:fill="CCEEFF"/>
          </w:tcPr>
          <w:p>
            <w:pPr>
              <w:spacing w:after="0"/>
              <w:rPr>
                <w:sz w:val="20"/>
                <w:szCs w:val="20"/>
                <w:color w:val="auto"/>
              </w:rPr>
            </w:pPr>
            <w:r>
              <w:rPr>
                <w:rFonts w:ascii="Arial" w:cs="Arial" w:eastAsia="Arial" w:hAnsi="Arial"/>
                <w:sz w:val="18"/>
                <w:szCs w:val="18"/>
                <w:color w:val="auto"/>
              </w:rPr>
              <w:t>Property and equipment, net</w:t>
            </w:r>
          </w:p>
        </w:tc>
        <w:tc>
          <w:tcPr>
            <w:tcW w:w="9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3,230,986</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3,891,275</w:t>
            </w:r>
          </w:p>
        </w:tc>
        <w:tc>
          <w:tcPr>
            <w:tcW w:w="12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8620" w:type="dxa"/>
            <w:vAlign w:val="bottom"/>
          </w:tcPr>
          <w:p>
            <w:pPr>
              <w:spacing w:after="0"/>
              <w:rPr>
                <w:sz w:val="20"/>
                <w:szCs w:val="20"/>
                <w:color w:val="auto"/>
              </w:rPr>
            </w:pPr>
            <w:r>
              <w:rPr>
                <w:rFonts w:ascii="Arial" w:cs="Arial" w:eastAsia="Arial" w:hAnsi="Arial"/>
                <w:sz w:val="18"/>
                <w:szCs w:val="18"/>
                <w:color w:val="auto"/>
              </w:rPr>
              <w:t>Restricted certificates of deposit - lease</w:t>
            </w:r>
          </w:p>
        </w:tc>
        <w:tc>
          <w:tcPr>
            <w:tcW w:w="20" w:type="dxa"/>
            <w:vAlign w:val="bottom"/>
          </w:tcPr>
          <w:p>
            <w:pPr>
              <w:spacing w:after="0"/>
              <w:rPr>
                <w:sz w:val="18"/>
                <w:szCs w:val="18"/>
                <w:color w:val="auto"/>
              </w:rPr>
            </w:pPr>
          </w:p>
        </w:tc>
        <w:tc>
          <w:tcPr>
            <w:tcW w:w="11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79,930</w:t>
            </w:r>
          </w:p>
        </w:tc>
        <w:tc>
          <w:tcPr>
            <w:tcW w:w="1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8620" w:type="dxa"/>
            <w:vAlign w:val="bottom"/>
            <w:shd w:val="clear" w:color="auto" w:fill="CCEEFF"/>
          </w:tcPr>
          <w:p>
            <w:pPr>
              <w:spacing w:after="0"/>
              <w:rPr>
                <w:sz w:val="20"/>
                <w:szCs w:val="20"/>
                <w:color w:val="auto"/>
              </w:rPr>
            </w:pPr>
            <w:r>
              <w:rPr>
                <w:rFonts w:ascii="Arial" w:cs="Arial" w:eastAsia="Arial" w:hAnsi="Arial"/>
                <w:sz w:val="18"/>
                <w:szCs w:val="18"/>
                <w:color w:val="auto"/>
              </w:rPr>
              <w:t>Other assets</w:t>
            </w:r>
          </w:p>
        </w:tc>
        <w:tc>
          <w:tcPr>
            <w:tcW w:w="9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583,466</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299,188</w:t>
            </w:r>
          </w:p>
        </w:tc>
        <w:tc>
          <w:tcPr>
            <w:tcW w:w="120" w:type="dxa"/>
            <w:vAlign w:val="bottom"/>
            <w:shd w:val="clear" w:color="auto" w:fill="CCEEFF"/>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8620" w:type="dxa"/>
            <w:vAlign w:val="bottom"/>
          </w:tcPr>
          <w:p>
            <w:pPr>
              <w:ind w:left="700"/>
              <w:spacing w:after="0"/>
              <w:rPr>
                <w:sz w:val="20"/>
                <w:szCs w:val="20"/>
                <w:color w:val="auto"/>
              </w:rPr>
            </w:pPr>
            <w:r>
              <w:rPr>
                <w:rFonts w:ascii="Arial" w:cs="Arial" w:eastAsia="Arial" w:hAnsi="Arial"/>
                <w:sz w:val="18"/>
                <w:szCs w:val="18"/>
                <w:color w:val="auto"/>
              </w:rPr>
              <w:t>Total assets</w:t>
            </w:r>
          </w:p>
        </w:tc>
        <w:tc>
          <w:tcPr>
            <w:tcW w:w="20" w:type="dxa"/>
            <w:vAlign w:val="bottom"/>
          </w:tcPr>
          <w:p>
            <w:pPr>
              <w:spacing w:after="0"/>
              <w:rPr>
                <w:sz w:val="19"/>
                <w:szCs w:val="19"/>
                <w:color w:val="auto"/>
              </w:rPr>
            </w:pP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9"/>
              </w:rPr>
              <w:t>$ 31,165,291</w:t>
            </w: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5"/>
              </w:rPr>
              <w:t>25,052,389</w:t>
            </w:r>
          </w:p>
        </w:tc>
        <w:tc>
          <w:tcPr>
            <w:tcW w:w="120" w:type="dxa"/>
            <w:vAlign w:val="bottom"/>
          </w:tcPr>
          <w:p>
            <w:pPr>
              <w:spacing w:after="0"/>
              <w:rPr>
                <w:sz w:val="19"/>
                <w:szCs w:val="19"/>
                <w:color w:val="auto"/>
              </w:rPr>
            </w:pPr>
          </w:p>
        </w:tc>
      </w:tr>
      <w:tr>
        <w:trPr>
          <w:trHeight w:val="20"/>
        </w:trPr>
        <w:tc>
          <w:tcPr>
            <w:tcW w:w="20" w:type="dxa"/>
            <w:vAlign w:val="bottom"/>
          </w:tcPr>
          <w:p>
            <w:pPr>
              <w:spacing w:after="0" w:line="20" w:lineRule="exact"/>
              <w:rPr>
                <w:sz w:val="1"/>
                <w:szCs w:val="1"/>
                <w:color w:val="auto"/>
              </w:rPr>
            </w:pPr>
          </w:p>
        </w:tc>
        <w:tc>
          <w:tcPr>
            <w:tcW w:w="86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86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Liabilities Convertible Preferred Stock and Stockholders’ Deficiency</w:t>
            </w:r>
          </w:p>
        </w:tc>
        <w:tc>
          <w:tcPr>
            <w:tcW w:w="2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8620" w:type="dxa"/>
            <w:vAlign w:val="bottom"/>
          </w:tcPr>
          <w:p>
            <w:pPr>
              <w:spacing w:after="0"/>
              <w:rPr>
                <w:sz w:val="20"/>
                <w:szCs w:val="20"/>
                <w:color w:val="auto"/>
              </w:rPr>
            </w:pPr>
            <w:r>
              <w:rPr>
                <w:rFonts w:ascii="Arial" w:cs="Arial" w:eastAsia="Arial" w:hAnsi="Arial"/>
                <w:sz w:val="18"/>
                <w:szCs w:val="18"/>
                <w:color w:val="auto"/>
              </w:rPr>
              <w:t>Current liabilities</w:t>
            </w:r>
          </w:p>
        </w:tc>
        <w:tc>
          <w:tcPr>
            <w:tcW w:w="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86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Accounts payable and accrued expenses</w:t>
            </w:r>
          </w:p>
        </w:tc>
        <w:tc>
          <w:tcPr>
            <w:tcW w:w="9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1"/>
              </w:rPr>
              <w:t>$ 10,061,901</w:t>
            </w:r>
          </w:p>
        </w:tc>
        <w:tc>
          <w:tcPr>
            <w:tcW w:w="200" w:type="dxa"/>
            <w:vAlign w:val="bottom"/>
            <w:shd w:val="clear" w:color="auto" w:fill="CCEEFF"/>
          </w:tcPr>
          <w:p>
            <w:pPr>
              <w:spacing w:after="0"/>
              <w:rPr>
                <w:sz w:val="18"/>
                <w:szCs w:val="18"/>
                <w:color w:val="auto"/>
              </w:rPr>
            </w:pP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9,176,616</w:t>
            </w:r>
          </w:p>
        </w:tc>
        <w:tc>
          <w:tcPr>
            <w:tcW w:w="120" w:type="dxa"/>
            <w:vAlign w:val="bottom"/>
            <w:shd w:val="clear" w:color="auto" w:fill="CCEEFF"/>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8620" w:type="dxa"/>
            <w:vAlign w:val="bottom"/>
          </w:tcPr>
          <w:p>
            <w:pPr>
              <w:ind w:left="340"/>
              <w:spacing w:after="0"/>
              <w:rPr>
                <w:sz w:val="20"/>
                <w:szCs w:val="20"/>
                <w:color w:val="auto"/>
              </w:rPr>
            </w:pPr>
            <w:r>
              <w:rPr>
                <w:rFonts w:ascii="Arial" w:cs="Arial" w:eastAsia="Arial" w:hAnsi="Arial"/>
                <w:sz w:val="18"/>
                <w:szCs w:val="18"/>
                <w:color w:val="auto"/>
              </w:rPr>
              <w:t>Deferred revenue</w:t>
            </w:r>
          </w:p>
        </w:tc>
        <w:tc>
          <w:tcPr>
            <w:tcW w:w="20" w:type="dxa"/>
            <w:vAlign w:val="bottom"/>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37,046,504</w:t>
            </w: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5"/>
              </w:rPr>
              <w:t>32,866,577</w:t>
            </w:r>
          </w:p>
        </w:tc>
        <w:tc>
          <w:tcPr>
            <w:tcW w:w="12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8620" w:type="dxa"/>
            <w:vAlign w:val="bottom"/>
            <w:shd w:val="clear" w:color="auto" w:fill="CCEEFF"/>
          </w:tcPr>
          <w:p>
            <w:pPr>
              <w:ind w:left="700"/>
              <w:spacing w:after="0"/>
              <w:rPr>
                <w:sz w:val="20"/>
                <w:szCs w:val="20"/>
                <w:color w:val="auto"/>
              </w:rPr>
            </w:pPr>
            <w:r>
              <w:rPr>
                <w:rFonts w:ascii="Arial" w:cs="Arial" w:eastAsia="Arial" w:hAnsi="Arial"/>
                <w:sz w:val="18"/>
                <w:szCs w:val="18"/>
                <w:color w:val="auto"/>
              </w:rPr>
              <w:t>Total current liabilities</w:t>
            </w:r>
          </w:p>
        </w:tc>
        <w:tc>
          <w:tcPr>
            <w:tcW w:w="9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47,108,405</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42,043,193</w:t>
            </w:r>
          </w:p>
        </w:tc>
        <w:tc>
          <w:tcPr>
            <w:tcW w:w="12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8620" w:type="dxa"/>
            <w:vAlign w:val="bottom"/>
          </w:tcPr>
          <w:p>
            <w:pPr>
              <w:spacing w:after="0"/>
              <w:rPr>
                <w:sz w:val="20"/>
                <w:szCs w:val="20"/>
                <w:color w:val="auto"/>
              </w:rPr>
            </w:pPr>
            <w:r>
              <w:rPr>
                <w:rFonts w:ascii="Arial" w:cs="Arial" w:eastAsia="Arial" w:hAnsi="Arial"/>
                <w:sz w:val="18"/>
                <w:szCs w:val="18"/>
                <w:color w:val="auto"/>
              </w:rPr>
              <w:t>Deferred revenue - noncurrent</w:t>
            </w:r>
          </w:p>
        </w:tc>
        <w:tc>
          <w:tcPr>
            <w:tcW w:w="980" w:type="dxa"/>
            <w:vAlign w:val="bottom"/>
            <w:gridSpan w:val="2"/>
          </w:tcPr>
          <w:p>
            <w:pPr>
              <w:jc w:val="right"/>
              <w:spacing w:after="0"/>
              <w:rPr>
                <w:sz w:val="20"/>
                <w:szCs w:val="20"/>
                <w:color w:val="auto"/>
              </w:rPr>
            </w:pPr>
            <w:r>
              <w:rPr>
                <w:rFonts w:ascii="Arial" w:cs="Arial" w:eastAsia="Arial" w:hAnsi="Arial"/>
                <w:sz w:val="18"/>
                <w:szCs w:val="18"/>
                <w:color w:val="auto"/>
              </w:rPr>
              <w:t>757,048</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434,070</w:t>
            </w:r>
          </w:p>
        </w:tc>
        <w:tc>
          <w:tcPr>
            <w:tcW w:w="1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8620" w:type="dxa"/>
            <w:vAlign w:val="bottom"/>
            <w:shd w:val="clear" w:color="auto" w:fill="CCEEFF"/>
          </w:tcPr>
          <w:p>
            <w:pPr>
              <w:spacing w:after="0"/>
              <w:rPr>
                <w:sz w:val="20"/>
                <w:szCs w:val="20"/>
                <w:color w:val="auto"/>
              </w:rPr>
            </w:pPr>
            <w:r>
              <w:rPr>
                <w:rFonts w:ascii="Arial" w:cs="Arial" w:eastAsia="Arial" w:hAnsi="Arial"/>
                <w:sz w:val="18"/>
                <w:szCs w:val="18"/>
                <w:color w:val="auto"/>
              </w:rPr>
              <w:t>Deferred rent and other noncurrent liabilities</w:t>
            </w:r>
          </w:p>
        </w:tc>
        <w:tc>
          <w:tcPr>
            <w:tcW w:w="9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572,176</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625,716</w:t>
            </w:r>
          </w:p>
        </w:tc>
        <w:tc>
          <w:tcPr>
            <w:tcW w:w="120" w:type="dxa"/>
            <w:vAlign w:val="bottom"/>
            <w:shd w:val="clear" w:color="auto" w:fill="CCEEFF"/>
          </w:tcPr>
          <w:p>
            <w:pPr>
              <w:spacing w:after="0"/>
              <w:rPr>
                <w:sz w:val="18"/>
                <w:szCs w:val="18"/>
                <w:color w:val="auto"/>
              </w:rPr>
            </w:pPr>
          </w:p>
        </w:tc>
      </w:tr>
      <w:tr>
        <w:trPr>
          <w:trHeight w:val="230"/>
        </w:trPr>
        <w:tc>
          <w:tcPr>
            <w:tcW w:w="20" w:type="dxa"/>
            <w:vAlign w:val="bottom"/>
          </w:tcPr>
          <w:p>
            <w:pPr>
              <w:spacing w:after="0"/>
              <w:rPr>
                <w:sz w:val="20"/>
                <w:szCs w:val="20"/>
                <w:color w:val="auto"/>
              </w:rPr>
            </w:pPr>
          </w:p>
        </w:tc>
        <w:tc>
          <w:tcPr>
            <w:tcW w:w="8620" w:type="dxa"/>
            <w:vAlign w:val="bottom"/>
          </w:tcPr>
          <w:p>
            <w:pPr>
              <w:ind w:left="700"/>
              <w:spacing w:after="0"/>
              <w:rPr>
                <w:sz w:val="20"/>
                <w:szCs w:val="20"/>
                <w:color w:val="auto"/>
              </w:rPr>
            </w:pPr>
            <w:r>
              <w:rPr>
                <w:rFonts w:ascii="Arial" w:cs="Arial" w:eastAsia="Arial" w:hAnsi="Arial"/>
                <w:sz w:val="18"/>
                <w:szCs w:val="18"/>
                <w:color w:val="auto"/>
              </w:rPr>
              <w:t>Total liabilities</w:t>
            </w:r>
          </w:p>
        </w:tc>
        <w:tc>
          <w:tcPr>
            <w:tcW w:w="20" w:type="dxa"/>
            <w:vAlign w:val="bottom"/>
          </w:tcPr>
          <w:p>
            <w:pPr>
              <w:spacing w:after="0"/>
              <w:rPr>
                <w:sz w:val="20"/>
                <w:szCs w:val="20"/>
                <w:color w:val="auto"/>
              </w:rPr>
            </w:pP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48,437,629</w:t>
            </w:r>
          </w:p>
        </w:tc>
        <w:tc>
          <w:tcPr>
            <w:tcW w:w="2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Borders>
              <w:top w:val="single" w:sz="8" w:color="auto"/>
              <w:bottom w:val="single" w:sz="8" w:color="auto"/>
            </w:tcBorders>
          </w:tcPr>
          <w:p>
            <w:pPr>
              <w:spacing w:after="0"/>
              <w:rPr>
                <w:sz w:val="20"/>
                <w:szCs w:val="20"/>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5"/>
              </w:rPr>
              <w:t>43,102,979</w:t>
            </w:r>
          </w:p>
        </w:tc>
        <w:tc>
          <w:tcPr>
            <w:tcW w:w="120" w:type="dxa"/>
            <w:vAlign w:val="bottom"/>
          </w:tcPr>
          <w:p>
            <w:pPr>
              <w:spacing w:after="0"/>
              <w:rPr>
                <w:sz w:val="20"/>
                <w:szCs w:val="20"/>
                <w:color w:val="auto"/>
              </w:rPr>
            </w:pPr>
          </w:p>
        </w:tc>
      </w:tr>
      <w:tr>
        <w:trPr>
          <w:trHeight w:val="216"/>
        </w:trPr>
        <w:tc>
          <w:tcPr>
            <w:tcW w:w="20" w:type="dxa"/>
            <w:vAlign w:val="bottom"/>
          </w:tcPr>
          <w:p>
            <w:pPr>
              <w:spacing w:after="0"/>
              <w:rPr>
                <w:sz w:val="18"/>
                <w:szCs w:val="18"/>
                <w:color w:val="auto"/>
              </w:rPr>
            </w:pPr>
          </w:p>
        </w:tc>
        <w:tc>
          <w:tcPr>
            <w:tcW w:w="8620" w:type="dxa"/>
            <w:vAlign w:val="bottom"/>
            <w:shd w:val="clear" w:color="auto" w:fill="CCEEFF"/>
          </w:tcPr>
          <w:p>
            <w:pPr>
              <w:spacing w:after="0"/>
              <w:rPr>
                <w:sz w:val="20"/>
                <w:szCs w:val="20"/>
                <w:color w:val="auto"/>
              </w:rPr>
            </w:pPr>
            <w:r>
              <w:rPr>
                <w:rFonts w:ascii="Arial" w:cs="Arial" w:eastAsia="Arial" w:hAnsi="Arial"/>
                <w:sz w:val="18"/>
                <w:szCs w:val="18"/>
                <w:color w:val="auto"/>
              </w:rPr>
              <w:t>Commitments and contingencies (Note 7)</w:t>
            </w:r>
          </w:p>
        </w:tc>
        <w:tc>
          <w:tcPr>
            <w:tcW w:w="2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8620" w:type="dxa"/>
            <w:vAlign w:val="bottom"/>
          </w:tcPr>
          <w:p>
            <w:pPr>
              <w:spacing w:after="0"/>
              <w:rPr>
                <w:sz w:val="20"/>
                <w:szCs w:val="20"/>
                <w:color w:val="auto"/>
              </w:rPr>
            </w:pPr>
            <w:r>
              <w:rPr>
                <w:rFonts w:ascii="Arial" w:cs="Arial" w:eastAsia="Arial" w:hAnsi="Arial"/>
                <w:sz w:val="18"/>
                <w:szCs w:val="18"/>
                <w:color w:val="auto"/>
              </w:rPr>
              <w:t>Convertible Preferred Stock</w:t>
            </w:r>
          </w:p>
        </w:tc>
        <w:tc>
          <w:tcPr>
            <w:tcW w:w="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02"/>
        </w:trPr>
        <w:tc>
          <w:tcPr>
            <w:tcW w:w="20" w:type="dxa"/>
            <w:vAlign w:val="bottom"/>
          </w:tcPr>
          <w:p>
            <w:pPr>
              <w:spacing w:after="0"/>
              <w:rPr>
                <w:sz w:val="17"/>
                <w:szCs w:val="17"/>
                <w:color w:val="auto"/>
              </w:rPr>
            </w:pPr>
          </w:p>
        </w:tc>
        <w:tc>
          <w:tcPr>
            <w:tcW w:w="8620" w:type="dxa"/>
            <w:vAlign w:val="bottom"/>
            <w:shd w:val="clear" w:color="auto" w:fill="CCEEFF"/>
          </w:tcPr>
          <w:p>
            <w:pPr>
              <w:ind w:left="340"/>
              <w:spacing w:after="0" w:line="201" w:lineRule="exact"/>
              <w:rPr>
                <w:sz w:val="20"/>
                <w:szCs w:val="20"/>
                <w:color w:val="auto"/>
              </w:rPr>
            </w:pPr>
            <w:r>
              <w:rPr>
                <w:rFonts w:ascii="Arial" w:cs="Arial" w:eastAsia="Arial" w:hAnsi="Arial"/>
                <w:sz w:val="18"/>
                <w:szCs w:val="18"/>
                <w:color w:val="auto"/>
                <w:w w:val="94"/>
              </w:rPr>
              <w:t>Series A convertible redeemable preferred stock; $0.001 par value, 16,912,500 shares authorized, issued and</w:t>
            </w:r>
          </w:p>
        </w:tc>
        <w:tc>
          <w:tcPr>
            <w:tcW w:w="2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r>
      <w:tr>
        <w:trPr>
          <w:trHeight w:val="230"/>
        </w:trPr>
        <w:tc>
          <w:tcPr>
            <w:tcW w:w="20" w:type="dxa"/>
            <w:vAlign w:val="bottom"/>
          </w:tcPr>
          <w:p>
            <w:pPr>
              <w:spacing w:after="0"/>
              <w:rPr>
                <w:sz w:val="20"/>
                <w:szCs w:val="20"/>
                <w:color w:val="auto"/>
              </w:rPr>
            </w:pPr>
          </w:p>
        </w:tc>
        <w:tc>
          <w:tcPr>
            <w:tcW w:w="8620" w:type="dxa"/>
            <w:vAlign w:val="bottom"/>
            <w:shd w:val="clear" w:color="auto" w:fill="CCEEFF"/>
          </w:tcPr>
          <w:p>
            <w:pPr>
              <w:ind w:left="520"/>
              <w:spacing w:after="0"/>
              <w:rPr>
                <w:sz w:val="20"/>
                <w:szCs w:val="20"/>
                <w:color w:val="auto"/>
              </w:rPr>
            </w:pPr>
            <w:r>
              <w:rPr>
                <w:rFonts w:ascii="Arial" w:cs="Arial" w:eastAsia="Arial" w:hAnsi="Arial"/>
                <w:sz w:val="18"/>
                <w:szCs w:val="18"/>
                <w:color w:val="auto"/>
              </w:rPr>
              <w:t>outstanding at March 31, 2018 and 2017, respectively</w:t>
            </w:r>
          </w:p>
        </w:tc>
        <w:tc>
          <w:tcPr>
            <w:tcW w:w="9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55,998,368</w:t>
            </w:r>
          </w:p>
        </w:tc>
        <w:tc>
          <w:tcPr>
            <w:tcW w:w="2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46,903,534</w:t>
            </w:r>
          </w:p>
        </w:tc>
        <w:tc>
          <w:tcPr>
            <w:tcW w:w="120" w:type="dxa"/>
            <w:vAlign w:val="bottom"/>
            <w:shd w:val="clear" w:color="auto" w:fill="CCEEFF"/>
          </w:tcPr>
          <w:p>
            <w:pPr>
              <w:spacing w:after="0"/>
              <w:rPr>
                <w:sz w:val="20"/>
                <w:szCs w:val="20"/>
                <w:color w:val="auto"/>
              </w:rPr>
            </w:pPr>
          </w:p>
        </w:tc>
      </w:tr>
      <w:tr>
        <w:trPr>
          <w:trHeight w:val="223"/>
        </w:trPr>
        <w:tc>
          <w:tcPr>
            <w:tcW w:w="8640" w:type="dxa"/>
            <w:vAlign w:val="bottom"/>
            <w:gridSpan w:val="2"/>
          </w:tcPr>
          <w:p>
            <w:pPr>
              <w:spacing w:after="0"/>
              <w:rPr>
                <w:sz w:val="20"/>
                <w:szCs w:val="20"/>
                <w:color w:val="auto"/>
              </w:rPr>
            </w:pPr>
            <w:r>
              <w:rPr>
                <w:rFonts w:ascii="Arial" w:cs="Arial" w:eastAsia="Arial" w:hAnsi="Arial"/>
                <w:sz w:val="18"/>
                <w:szCs w:val="18"/>
                <w:color w:val="auto"/>
              </w:rPr>
              <w:t>Stockholders’ deficiency</w:t>
            </w:r>
          </w:p>
        </w:tc>
        <w:tc>
          <w:tcPr>
            <w:tcW w:w="20" w:type="dxa"/>
            <w:vAlign w:val="bottom"/>
          </w:tcPr>
          <w:p>
            <w:pPr>
              <w:spacing w:after="0"/>
              <w:rPr>
                <w:sz w:val="19"/>
                <w:szCs w:val="19"/>
                <w:color w:val="auto"/>
              </w:rPr>
            </w:pPr>
          </w:p>
        </w:tc>
        <w:tc>
          <w:tcPr>
            <w:tcW w:w="960" w:type="dxa"/>
            <w:vAlign w:val="bottom"/>
            <w:tcBorders>
              <w:top w:val="single" w:sz="8" w:color="auto"/>
            </w:tcBorders>
          </w:tcPr>
          <w:p>
            <w:pPr>
              <w:spacing w:after="0"/>
              <w:rPr>
                <w:sz w:val="19"/>
                <w:szCs w:val="19"/>
                <w:color w:val="auto"/>
              </w:rPr>
            </w:pP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88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r>
      <w:tr>
        <w:trPr>
          <w:trHeight w:val="202"/>
        </w:trPr>
        <w:tc>
          <w:tcPr>
            <w:tcW w:w="20" w:type="dxa"/>
            <w:vAlign w:val="bottom"/>
          </w:tcPr>
          <w:p>
            <w:pPr>
              <w:spacing w:after="0"/>
              <w:rPr>
                <w:sz w:val="17"/>
                <w:szCs w:val="17"/>
                <w:color w:val="auto"/>
              </w:rPr>
            </w:pPr>
          </w:p>
        </w:tc>
        <w:tc>
          <w:tcPr>
            <w:tcW w:w="8620" w:type="dxa"/>
            <w:vAlign w:val="bottom"/>
            <w:shd w:val="clear" w:color="auto" w:fill="CCEEFF"/>
          </w:tcPr>
          <w:p>
            <w:pPr>
              <w:ind w:left="340"/>
              <w:spacing w:after="0" w:line="201" w:lineRule="exact"/>
              <w:rPr>
                <w:sz w:val="20"/>
                <w:szCs w:val="20"/>
                <w:color w:val="auto"/>
              </w:rPr>
            </w:pPr>
            <w:r>
              <w:rPr>
                <w:rFonts w:ascii="Arial" w:cs="Arial" w:eastAsia="Arial" w:hAnsi="Arial"/>
                <w:sz w:val="18"/>
                <w:szCs w:val="18"/>
                <w:color w:val="auto"/>
                <w:w w:val="92"/>
              </w:rPr>
              <w:t>Common stock; $0.001 par value, 51,250,000 shares authorized, 30,352,784 and 29,647,826 shares issued and</w:t>
            </w:r>
          </w:p>
        </w:tc>
        <w:tc>
          <w:tcPr>
            <w:tcW w:w="2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r>
      <w:tr>
        <w:trPr>
          <w:trHeight w:val="230"/>
        </w:trPr>
        <w:tc>
          <w:tcPr>
            <w:tcW w:w="20" w:type="dxa"/>
            <w:vAlign w:val="bottom"/>
          </w:tcPr>
          <w:p>
            <w:pPr>
              <w:spacing w:after="0"/>
              <w:rPr>
                <w:sz w:val="20"/>
                <w:szCs w:val="20"/>
                <w:color w:val="auto"/>
              </w:rPr>
            </w:pPr>
          </w:p>
        </w:tc>
        <w:tc>
          <w:tcPr>
            <w:tcW w:w="8620" w:type="dxa"/>
            <w:vAlign w:val="bottom"/>
            <w:shd w:val="clear" w:color="auto" w:fill="CCEEFF"/>
          </w:tcPr>
          <w:p>
            <w:pPr>
              <w:ind w:left="520"/>
              <w:spacing w:after="0"/>
              <w:rPr>
                <w:sz w:val="20"/>
                <w:szCs w:val="20"/>
                <w:color w:val="auto"/>
              </w:rPr>
            </w:pPr>
            <w:r>
              <w:rPr>
                <w:rFonts w:ascii="Arial" w:cs="Arial" w:eastAsia="Arial" w:hAnsi="Arial"/>
                <w:sz w:val="18"/>
                <w:szCs w:val="18"/>
                <w:color w:val="auto"/>
              </w:rPr>
              <w:t>outstanding at March 31, 2018 and 2017, respectively</w:t>
            </w:r>
          </w:p>
        </w:tc>
        <w:tc>
          <w:tcPr>
            <w:tcW w:w="9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30,352</w:t>
            </w:r>
          </w:p>
        </w:tc>
        <w:tc>
          <w:tcPr>
            <w:tcW w:w="2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29,647</w:t>
            </w:r>
          </w:p>
        </w:tc>
        <w:tc>
          <w:tcPr>
            <w:tcW w:w="120" w:type="dxa"/>
            <w:vAlign w:val="bottom"/>
            <w:shd w:val="clear" w:color="auto" w:fill="CCEEFF"/>
          </w:tcPr>
          <w:p>
            <w:pPr>
              <w:spacing w:after="0"/>
              <w:rPr>
                <w:sz w:val="20"/>
                <w:szCs w:val="20"/>
                <w:color w:val="auto"/>
              </w:rPr>
            </w:pPr>
          </w:p>
        </w:tc>
      </w:tr>
      <w:tr>
        <w:trPr>
          <w:trHeight w:val="216"/>
        </w:trPr>
        <w:tc>
          <w:tcPr>
            <w:tcW w:w="20" w:type="dxa"/>
            <w:vAlign w:val="bottom"/>
          </w:tcPr>
          <w:p>
            <w:pPr>
              <w:spacing w:after="0"/>
              <w:rPr>
                <w:sz w:val="18"/>
                <w:szCs w:val="18"/>
                <w:color w:val="auto"/>
              </w:rPr>
            </w:pPr>
          </w:p>
        </w:tc>
        <w:tc>
          <w:tcPr>
            <w:tcW w:w="8620" w:type="dxa"/>
            <w:vAlign w:val="bottom"/>
          </w:tcPr>
          <w:p>
            <w:pPr>
              <w:spacing w:after="0"/>
              <w:rPr>
                <w:sz w:val="20"/>
                <w:szCs w:val="20"/>
                <w:color w:val="auto"/>
              </w:rPr>
            </w:pPr>
            <w:r>
              <w:rPr>
                <w:rFonts w:ascii="Arial" w:cs="Arial" w:eastAsia="Arial" w:hAnsi="Arial"/>
                <w:sz w:val="18"/>
                <w:szCs w:val="18"/>
                <w:color w:val="auto"/>
              </w:rPr>
              <w:t>Additional paid-in capital</w:t>
            </w:r>
          </w:p>
        </w:tc>
        <w:tc>
          <w:tcPr>
            <w:tcW w:w="20" w:type="dxa"/>
            <w:vAlign w:val="bottom"/>
          </w:tcPr>
          <w:p>
            <w:pPr>
              <w:spacing w:after="0"/>
              <w:rPr>
                <w:sz w:val="18"/>
                <w:szCs w:val="18"/>
                <w:color w:val="auto"/>
              </w:rPr>
            </w:pPr>
          </w:p>
        </w:tc>
        <w:tc>
          <w:tcPr>
            <w:tcW w:w="116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r>
      <w:tr>
        <w:trPr>
          <w:trHeight w:val="216"/>
        </w:trPr>
        <w:tc>
          <w:tcPr>
            <w:tcW w:w="20" w:type="dxa"/>
            <w:vAlign w:val="bottom"/>
          </w:tcPr>
          <w:p>
            <w:pPr>
              <w:spacing w:after="0"/>
              <w:rPr>
                <w:sz w:val="18"/>
                <w:szCs w:val="18"/>
                <w:color w:val="auto"/>
              </w:rPr>
            </w:pPr>
          </w:p>
        </w:tc>
        <w:tc>
          <w:tcPr>
            <w:tcW w:w="8620" w:type="dxa"/>
            <w:vAlign w:val="bottom"/>
            <w:shd w:val="clear" w:color="auto" w:fill="CCEEFF"/>
          </w:tcPr>
          <w:p>
            <w:pPr>
              <w:spacing w:after="0"/>
              <w:rPr>
                <w:sz w:val="20"/>
                <w:szCs w:val="20"/>
                <w:color w:val="auto"/>
              </w:rPr>
            </w:pPr>
            <w:r>
              <w:rPr>
                <w:rFonts w:ascii="Arial" w:cs="Arial" w:eastAsia="Arial" w:hAnsi="Arial"/>
                <w:sz w:val="18"/>
                <w:szCs w:val="18"/>
                <w:color w:val="auto"/>
              </w:rPr>
              <w:t>Accumulated deficit</w:t>
            </w:r>
          </w:p>
        </w:tc>
        <w:tc>
          <w:tcPr>
            <w:tcW w:w="118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w w:val="99"/>
              </w:rPr>
              <w:t>(73,180,502)</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0"/>
              </w:rPr>
              <w:t>(64,789,529)</w:t>
            </w:r>
          </w:p>
        </w:tc>
      </w:tr>
      <w:tr>
        <w:trPr>
          <w:trHeight w:val="216"/>
        </w:trPr>
        <w:tc>
          <w:tcPr>
            <w:tcW w:w="20" w:type="dxa"/>
            <w:vAlign w:val="bottom"/>
          </w:tcPr>
          <w:p>
            <w:pPr>
              <w:spacing w:after="0"/>
              <w:rPr>
                <w:sz w:val="18"/>
                <w:szCs w:val="18"/>
                <w:color w:val="auto"/>
              </w:rPr>
            </w:pPr>
          </w:p>
        </w:tc>
        <w:tc>
          <w:tcPr>
            <w:tcW w:w="8620" w:type="dxa"/>
            <w:vAlign w:val="bottom"/>
          </w:tcPr>
          <w:p>
            <w:pPr>
              <w:spacing w:after="0"/>
              <w:rPr>
                <w:sz w:val="20"/>
                <w:szCs w:val="20"/>
                <w:color w:val="auto"/>
              </w:rPr>
            </w:pPr>
            <w:r>
              <w:rPr>
                <w:rFonts w:ascii="Arial" w:cs="Arial" w:eastAsia="Arial" w:hAnsi="Arial"/>
                <w:sz w:val="18"/>
                <w:szCs w:val="18"/>
                <w:color w:val="auto"/>
              </w:rPr>
              <w:t>Accumulated other comprehensive loss</w:t>
            </w:r>
          </w:p>
        </w:tc>
        <w:tc>
          <w:tcPr>
            <w:tcW w:w="20" w:type="dxa"/>
            <w:vAlign w:val="bottom"/>
          </w:tcPr>
          <w:p>
            <w:pPr>
              <w:spacing w:after="0"/>
              <w:rPr>
                <w:sz w:val="18"/>
                <w:szCs w:val="18"/>
                <w:color w:val="auto"/>
              </w:rPr>
            </w:pPr>
          </w:p>
        </w:tc>
        <w:tc>
          <w:tcPr>
            <w:tcW w:w="1160" w:type="dxa"/>
            <w:vAlign w:val="bottom"/>
            <w:gridSpan w:val="2"/>
          </w:tcPr>
          <w:p>
            <w:pPr>
              <w:jc w:val="right"/>
              <w:ind w:right="140"/>
              <w:spacing w:after="0"/>
              <w:rPr>
                <w:sz w:val="20"/>
                <w:szCs w:val="20"/>
                <w:color w:val="auto"/>
              </w:rPr>
            </w:pPr>
            <w:r>
              <w:rPr>
                <w:rFonts w:ascii="Arial" w:cs="Arial" w:eastAsia="Arial" w:hAnsi="Arial"/>
                <w:sz w:val="18"/>
                <w:szCs w:val="18"/>
                <w:color w:val="auto"/>
              </w:rPr>
              <w:t>(120,556)</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0" w:type="dxa"/>
            <w:vAlign w:val="bottom"/>
            <w:gridSpan w:val="2"/>
          </w:tcPr>
          <w:p>
            <w:pPr>
              <w:jc w:val="right"/>
              <w:ind w:right="60"/>
              <w:spacing w:after="0"/>
              <w:rPr>
                <w:sz w:val="20"/>
                <w:szCs w:val="20"/>
                <w:color w:val="auto"/>
              </w:rPr>
            </w:pPr>
            <w:r>
              <w:rPr>
                <w:rFonts w:ascii="Arial" w:cs="Arial" w:eastAsia="Arial" w:hAnsi="Arial"/>
                <w:sz w:val="18"/>
                <w:szCs w:val="18"/>
                <w:color w:val="auto"/>
              </w:rPr>
              <w:t>(194,242)</w:t>
            </w:r>
          </w:p>
        </w:tc>
      </w:tr>
      <w:tr>
        <w:trPr>
          <w:trHeight w:val="27"/>
        </w:trPr>
        <w:tc>
          <w:tcPr>
            <w:tcW w:w="20" w:type="dxa"/>
            <w:vAlign w:val="bottom"/>
          </w:tcPr>
          <w:p>
            <w:pPr>
              <w:spacing w:after="0"/>
              <w:rPr>
                <w:sz w:val="2"/>
                <w:szCs w:val="2"/>
                <w:color w:val="auto"/>
              </w:rPr>
            </w:pPr>
          </w:p>
        </w:tc>
        <w:tc>
          <w:tcPr>
            <w:tcW w:w="8620" w:type="dxa"/>
            <w:vAlign w:val="bottom"/>
          </w:tcPr>
          <w:p>
            <w:pPr>
              <w:spacing w:after="0"/>
              <w:rPr>
                <w:sz w:val="2"/>
                <w:szCs w:val="2"/>
                <w:color w:val="auto"/>
              </w:rPr>
            </w:pPr>
          </w:p>
        </w:tc>
        <w:tc>
          <w:tcPr>
            <w:tcW w:w="20" w:type="dxa"/>
            <w:vAlign w:val="bottom"/>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r>
      <w:tr>
        <w:trPr>
          <w:trHeight w:val="216"/>
        </w:trPr>
        <w:tc>
          <w:tcPr>
            <w:tcW w:w="20" w:type="dxa"/>
            <w:vAlign w:val="bottom"/>
          </w:tcPr>
          <w:p>
            <w:pPr>
              <w:spacing w:after="0"/>
              <w:rPr>
                <w:sz w:val="18"/>
                <w:szCs w:val="18"/>
                <w:color w:val="auto"/>
              </w:rPr>
            </w:pPr>
          </w:p>
        </w:tc>
        <w:tc>
          <w:tcPr>
            <w:tcW w:w="8620" w:type="dxa"/>
            <w:vAlign w:val="bottom"/>
            <w:shd w:val="clear" w:color="auto" w:fill="CCEEFF"/>
          </w:tcPr>
          <w:p>
            <w:pPr>
              <w:ind w:left="700"/>
              <w:spacing w:after="0"/>
              <w:rPr>
                <w:sz w:val="20"/>
                <w:szCs w:val="20"/>
                <w:color w:val="auto"/>
              </w:rPr>
            </w:pPr>
            <w:r>
              <w:rPr>
                <w:rFonts w:ascii="Arial" w:cs="Arial" w:eastAsia="Arial" w:hAnsi="Arial"/>
                <w:sz w:val="18"/>
                <w:szCs w:val="18"/>
                <w:color w:val="auto"/>
              </w:rPr>
              <w:t>Total stockholders’ deficiency</w:t>
            </w:r>
          </w:p>
        </w:tc>
        <w:tc>
          <w:tcPr>
            <w:tcW w:w="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w w:val="97"/>
              </w:rPr>
              <w:t>(73,270,706)</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0"/>
              </w:rPr>
              <w:t>(64,954,124)</w:t>
            </w:r>
          </w:p>
        </w:tc>
      </w:tr>
      <w:tr>
        <w:trPr>
          <w:trHeight w:val="223"/>
        </w:trPr>
        <w:tc>
          <w:tcPr>
            <w:tcW w:w="20" w:type="dxa"/>
            <w:vAlign w:val="bottom"/>
          </w:tcPr>
          <w:p>
            <w:pPr>
              <w:spacing w:after="0"/>
              <w:rPr>
                <w:sz w:val="19"/>
                <w:szCs w:val="19"/>
                <w:color w:val="auto"/>
              </w:rPr>
            </w:pPr>
          </w:p>
        </w:tc>
        <w:tc>
          <w:tcPr>
            <w:tcW w:w="8620" w:type="dxa"/>
            <w:vAlign w:val="bottom"/>
          </w:tcPr>
          <w:p>
            <w:pPr>
              <w:ind w:left="700"/>
              <w:spacing w:after="0"/>
              <w:rPr>
                <w:sz w:val="20"/>
                <w:szCs w:val="20"/>
                <w:color w:val="auto"/>
              </w:rPr>
            </w:pPr>
            <w:r>
              <w:rPr>
                <w:rFonts w:ascii="Arial" w:cs="Arial" w:eastAsia="Arial" w:hAnsi="Arial"/>
                <w:sz w:val="18"/>
                <w:szCs w:val="18"/>
                <w:color w:val="auto"/>
              </w:rPr>
              <w:t>Total liabilities convertible preferred stock and stockholders’ deficiency</w:t>
            </w:r>
          </w:p>
        </w:tc>
        <w:tc>
          <w:tcPr>
            <w:tcW w:w="20" w:type="dxa"/>
            <w:vAlign w:val="bottom"/>
            <w:tcBorders>
              <w:bottom w:val="single" w:sz="8" w:color="auto"/>
            </w:tcBorders>
          </w:tcPr>
          <w:p>
            <w:pPr>
              <w:spacing w:after="0"/>
              <w:rPr>
                <w:sz w:val="19"/>
                <w:szCs w:val="19"/>
                <w:color w:val="auto"/>
              </w:rPr>
            </w:pP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9"/>
              </w:rPr>
              <w:t>$ 31,165,291</w:t>
            </w: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5"/>
              </w:rPr>
              <w:t>25,052,389</w:t>
            </w:r>
          </w:p>
        </w:tc>
        <w:tc>
          <w:tcPr>
            <w:tcW w:w="120" w:type="dxa"/>
            <w:vAlign w:val="bottom"/>
          </w:tcPr>
          <w:p>
            <w:pPr>
              <w:spacing w:after="0"/>
              <w:rPr>
                <w:sz w:val="19"/>
                <w:szCs w:val="19"/>
                <w:color w:val="auto"/>
              </w:rPr>
            </w:pPr>
          </w:p>
        </w:tc>
      </w:tr>
      <w:tr>
        <w:trPr>
          <w:trHeight w:val="20"/>
        </w:trPr>
        <w:tc>
          <w:tcPr>
            <w:tcW w:w="20" w:type="dxa"/>
            <w:vAlign w:val="bottom"/>
          </w:tcPr>
          <w:p>
            <w:pPr>
              <w:spacing w:after="0" w:line="20" w:lineRule="exact"/>
              <w:rPr>
                <w:sz w:val="1"/>
                <w:szCs w:val="1"/>
                <w:color w:val="auto"/>
              </w:rPr>
            </w:pPr>
          </w:p>
        </w:tc>
        <w:tc>
          <w:tcPr>
            <w:tcW w:w="86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15"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158"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040"/>
          </w:cols>
          <w:pgMar w:left="440" w:top="270" w:right="419" w:bottom="1440" w:gutter="0" w:footer="0" w:header="0"/>
        </w:sectPr>
      </w:pPr>
    </w:p>
    <w:bookmarkStart w:id="8" w:name="page9"/>
    <w:bookmarkEnd w:id="8"/>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SiriusDecisions, Inc. and Subsidiaries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Consolidated Statements of Operations and Comprehensive Loss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Years Ended March 31, 2018 and 2017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14605</wp:posOffset>
            </wp:positionV>
            <wp:extent cx="6997700"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6997700" cy="8890"/>
                    </a:xfrm>
                    <a:prstGeom prst="rect">
                      <a:avLst/>
                    </a:prstGeom>
                    <a:noFill/>
                  </pic:spPr>
                </pic:pic>
              </a:graphicData>
            </a:graphic>
          </wp:anchor>
        </w:drawing>
      </w:r>
    </w:p>
    <w:p>
      <w:pPr>
        <w:spacing w:after="0" w:line="277"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5880" w:type="dxa"/>
            <w:vAlign w:val="bottom"/>
          </w:tcPr>
          <w:p>
            <w:pPr>
              <w:spacing w:after="0"/>
              <w:rPr>
                <w:sz w:val="14"/>
                <w:szCs w:val="14"/>
                <w:color w:val="auto"/>
              </w:rPr>
            </w:pPr>
          </w:p>
        </w:tc>
        <w:tc>
          <w:tcPr>
            <w:tcW w:w="28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20" w:type="dxa"/>
            <w:vAlign w:val="bottom"/>
          </w:tcPr>
          <w:p>
            <w:pPr>
              <w:jc w:val="right"/>
              <w:ind w:right="232"/>
              <w:spacing w:after="0"/>
              <w:rPr>
                <w:sz w:val="20"/>
                <w:szCs w:val="20"/>
                <w:color w:val="auto"/>
              </w:rPr>
            </w:pPr>
            <w:r>
              <w:rPr>
                <w:rFonts w:ascii="Arial" w:cs="Arial" w:eastAsia="Arial" w:hAnsi="Arial"/>
                <w:sz w:val="14"/>
                <w:szCs w:val="14"/>
                <w:b w:val="1"/>
                <w:bCs w:val="1"/>
                <w:color w:val="auto"/>
              </w:rPr>
              <w:t>2018</w:t>
            </w:r>
          </w:p>
        </w:tc>
        <w:tc>
          <w:tcPr>
            <w:tcW w:w="180" w:type="dxa"/>
            <w:vAlign w:val="bottom"/>
          </w:tcPr>
          <w:p>
            <w:pPr>
              <w:spacing w:after="0"/>
              <w:rPr>
                <w:sz w:val="14"/>
                <w:szCs w:val="14"/>
                <w:color w:val="auto"/>
              </w:rPr>
            </w:pPr>
          </w:p>
        </w:tc>
        <w:tc>
          <w:tcPr>
            <w:tcW w:w="1040" w:type="dxa"/>
            <w:vAlign w:val="bottom"/>
            <w:gridSpan w:val="2"/>
          </w:tcPr>
          <w:p>
            <w:pPr>
              <w:jc w:val="right"/>
              <w:ind w:right="230"/>
              <w:spacing w:after="0"/>
              <w:rPr>
                <w:sz w:val="20"/>
                <w:szCs w:val="20"/>
                <w:color w:val="auto"/>
              </w:rPr>
            </w:pPr>
            <w:r>
              <w:rPr>
                <w:rFonts w:ascii="Arial" w:cs="Arial" w:eastAsia="Arial" w:hAnsi="Arial"/>
                <w:sz w:val="14"/>
                <w:szCs w:val="14"/>
                <w:b w:val="1"/>
                <w:bCs w:val="1"/>
                <w:color w:val="auto"/>
              </w:rPr>
              <w:t>2017</w:t>
            </w:r>
          </w:p>
        </w:tc>
        <w:tc>
          <w:tcPr>
            <w:tcW w:w="120" w:type="dxa"/>
            <w:vAlign w:val="bottom"/>
          </w:tcPr>
          <w:p>
            <w:pPr>
              <w:spacing w:after="0"/>
              <w:rPr>
                <w:sz w:val="14"/>
                <w:szCs w:val="14"/>
                <w:color w:val="auto"/>
              </w:rPr>
            </w:pPr>
          </w:p>
        </w:tc>
      </w:tr>
      <w:tr>
        <w:trPr>
          <w:trHeight w:val="216"/>
        </w:trPr>
        <w:tc>
          <w:tcPr>
            <w:tcW w:w="20" w:type="dxa"/>
            <w:vAlign w:val="bottom"/>
          </w:tcPr>
          <w:p>
            <w:pPr>
              <w:spacing w:after="0"/>
              <w:rPr>
                <w:sz w:val="18"/>
                <w:szCs w:val="18"/>
                <w:color w:val="auto"/>
              </w:rPr>
            </w:pPr>
          </w:p>
        </w:tc>
        <w:tc>
          <w:tcPr>
            <w:tcW w:w="5880" w:type="dxa"/>
            <w:vAlign w:val="bottom"/>
            <w:shd w:val="clear" w:color="auto" w:fill="CCEEFF"/>
          </w:tcPr>
          <w:p>
            <w:pPr>
              <w:spacing w:after="0"/>
              <w:rPr>
                <w:sz w:val="20"/>
                <w:szCs w:val="20"/>
                <w:color w:val="auto"/>
              </w:rPr>
            </w:pPr>
            <w:r>
              <w:rPr>
                <w:rFonts w:ascii="Arial" w:cs="Arial" w:eastAsia="Arial" w:hAnsi="Arial"/>
                <w:sz w:val="18"/>
                <w:szCs w:val="18"/>
                <w:color w:val="auto"/>
              </w:rPr>
              <w:t>Revenue</w:t>
            </w:r>
          </w:p>
        </w:tc>
        <w:tc>
          <w:tcPr>
            <w:tcW w:w="298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80,040,284</w:t>
            </w:r>
          </w:p>
        </w:tc>
        <w:tc>
          <w:tcPr>
            <w:tcW w:w="1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66,953,509</w:t>
            </w:r>
          </w:p>
        </w:tc>
        <w:tc>
          <w:tcPr>
            <w:tcW w:w="120" w:type="dxa"/>
            <w:vAlign w:val="bottom"/>
            <w:shd w:val="clear" w:color="auto" w:fill="CCEEFF"/>
          </w:tcPr>
          <w:p>
            <w:pPr>
              <w:spacing w:after="0"/>
              <w:rPr>
                <w:sz w:val="18"/>
                <w:szCs w:val="18"/>
                <w:color w:val="auto"/>
              </w:rPr>
            </w:pPr>
          </w:p>
        </w:tc>
      </w:tr>
      <w:tr>
        <w:trPr>
          <w:trHeight w:val="223"/>
        </w:trPr>
        <w:tc>
          <w:tcPr>
            <w:tcW w:w="5900" w:type="dxa"/>
            <w:vAlign w:val="bottom"/>
            <w:gridSpan w:val="2"/>
          </w:tcPr>
          <w:p>
            <w:pPr>
              <w:spacing w:after="0"/>
              <w:rPr>
                <w:sz w:val="20"/>
                <w:szCs w:val="20"/>
                <w:color w:val="auto"/>
              </w:rPr>
            </w:pPr>
            <w:r>
              <w:rPr>
                <w:rFonts w:ascii="Arial" w:cs="Arial" w:eastAsia="Arial" w:hAnsi="Arial"/>
                <w:sz w:val="18"/>
                <w:szCs w:val="18"/>
                <w:b w:val="1"/>
                <w:bCs w:val="1"/>
                <w:color w:val="auto"/>
              </w:rPr>
              <w:t>Costs and expenses</w:t>
            </w:r>
          </w:p>
        </w:tc>
        <w:tc>
          <w:tcPr>
            <w:tcW w:w="288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820" w:type="dxa"/>
            <w:vAlign w:val="bottom"/>
            <w:tcBorders>
              <w:top w:val="single" w:sz="8" w:color="auto"/>
            </w:tcBorders>
          </w:tcPr>
          <w:p>
            <w:pPr>
              <w:spacing w:after="0"/>
              <w:rPr>
                <w:sz w:val="19"/>
                <w:szCs w:val="19"/>
                <w:color w:val="auto"/>
              </w:rPr>
            </w:pP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0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5880" w:type="dxa"/>
            <w:vAlign w:val="bottom"/>
            <w:shd w:val="clear" w:color="auto" w:fill="CCEEFF"/>
          </w:tcPr>
          <w:p>
            <w:pPr>
              <w:spacing w:after="0"/>
              <w:rPr>
                <w:sz w:val="20"/>
                <w:szCs w:val="20"/>
                <w:color w:val="auto"/>
              </w:rPr>
            </w:pPr>
            <w:r>
              <w:rPr>
                <w:rFonts w:ascii="Arial" w:cs="Arial" w:eastAsia="Arial" w:hAnsi="Arial"/>
                <w:sz w:val="18"/>
                <w:szCs w:val="18"/>
                <w:color w:val="auto"/>
              </w:rPr>
              <w:t>Cost of services and product development</w:t>
            </w:r>
          </w:p>
        </w:tc>
        <w:tc>
          <w:tcPr>
            <w:tcW w:w="2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31,887,017</w:t>
            </w:r>
          </w:p>
        </w:tc>
        <w:tc>
          <w:tcPr>
            <w:tcW w:w="1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29,307,958</w:t>
            </w:r>
          </w:p>
        </w:tc>
        <w:tc>
          <w:tcPr>
            <w:tcW w:w="12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880" w:type="dxa"/>
            <w:vAlign w:val="bottom"/>
          </w:tcPr>
          <w:p>
            <w:pPr>
              <w:spacing w:after="0"/>
              <w:rPr>
                <w:sz w:val="20"/>
                <w:szCs w:val="20"/>
                <w:color w:val="auto"/>
              </w:rPr>
            </w:pPr>
            <w:r>
              <w:rPr>
                <w:rFonts w:ascii="Arial" w:cs="Arial" w:eastAsia="Arial" w:hAnsi="Arial"/>
                <w:sz w:val="18"/>
                <w:szCs w:val="18"/>
                <w:color w:val="auto"/>
              </w:rPr>
              <w:t>Selling, general and administrative</w:t>
            </w:r>
          </w:p>
        </w:tc>
        <w:tc>
          <w:tcPr>
            <w:tcW w:w="2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w w:val="86"/>
              </w:rPr>
              <w:t>46,388,479</w:t>
            </w:r>
          </w:p>
        </w:tc>
        <w:tc>
          <w:tcPr>
            <w:tcW w:w="180" w:type="dxa"/>
            <w:vAlign w:val="bottom"/>
          </w:tcPr>
          <w:p>
            <w:pPr>
              <w:spacing w:after="0"/>
              <w:rPr>
                <w:sz w:val="18"/>
                <w:szCs w:val="18"/>
                <w:color w:val="auto"/>
              </w:rPr>
            </w:pPr>
          </w:p>
        </w:tc>
        <w:tc>
          <w:tcPr>
            <w:tcW w:w="1040" w:type="dxa"/>
            <w:vAlign w:val="bottom"/>
            <w:gridSpan w:val="2"/>
          </w:tcPr>
          <w:p>
            <w:pPr>
              <w:jc w:val="right"/>
              <w:spacing w:after="0"/>
              <w:rPr>
                <w:sz w:val="20"/>
                <w:szCs w:val="20"/>
                <w:color w:val="auto"/>
              </w:rPr>
            </w:pPr>
            <w:r>
              <w:rPr>
                <w:rFonts w:ascii="Arial" w:cs="Arial" w:eastAsia="Arial" w:hAnsi="Arial"/>
                <w:sz w:val="18"/>
                <w:szCs w:val="18"/>
                <w:color w:val="auto"/>
              </w:rPr>
              <w:t>40,850,682</w:t>
            </w:r>
          </w:p>
        </w:tc>
        <w:tc>
          <w:tcPr>
            <w:tcW w:w="1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880" w:type="dxa"/>
            <w:vAlign w:val="bottom"/>
            <w:shd w:val="clear" w:color="auto" w:fill="CCEEFF"/>
          </w:tcPr>
          <w:p>
            <w:pPr>
              <w:spacing w:after="0"/>
              <w:rPr>
                <w:sz w:val="20"/>
                <w:szCs w:val="20"/>
                <w:color w:val="auto"/>
              </w:rPr>
            </w:pPr>
            <w:r>
              <w:rPr>
                <w:rFonts w:ascii="Arial" w:cs="Arial" w:eastAsia="Arial" w:hAnsi="Arial"/>
                <w:sz w:val="18"/>
                <w:szCs w:val="18"/>
                <w:color w:val="auto"/>
              </w:rPr>
              <w:t>Depreciation and amortization</w:t>
            </w:r>
          </w:p>
        </w:tc>
        <w:tc>
          <w:tcPr>
            <w:tcW w:w="2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1,861,491</w:t>
            </w:r>
          </w:p>
        </w:tc>
        <w:tc>
          <w:tcPr>
            <w:tcW w:w="1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1,455,111</w:t>
            </w:r>
          </w:p>
        </w:tc>
        <w:tc>
          <w:tcPr>
            <w:tcW w:w="120" w:type="dxa"/>
            <w:vAlign w:val="bottom"/>
            <w:shd w:val="clear" w:color="auto" w:fill="CCEEFF"/>
          </w:tcPr>
          <w:p>
            <w:pPr>
              <w:spacing w:after="0"/>
              <w:rPr>
                <w:sz w:val="18"/>
                <w:szCs w:val="18"/>
                <w:color w:val="auto"/>
              </w:rPr>
            </w:pPr>
          </w:p>
        </w:tc>
      </w:tr>
      <w:tr>
        <w:trPr>
          <w:trHeight w:val="230"/>
        </w:trPr>
        <w:tc>
          <w:tcPr>
            <w:tcW w:w="20" w:type="dxa"/>
            <w:vAlign w:val="bottom"/>
          </w:tcPr>
          <w:p>
            <w:pPr>
              <w:spacing w:after="0"/>
              <w:rPr>
                <w:sz w:val="20"/>
                <w:szCs w:val="20"/>
                <w:color w:val="auto"/>
              </w:rPr>
            </w:pPr>
          </w:p>
        </w:tc>
        <w:tc>
          <w:tcPr>
            <w:tcW w:w="5880" w:type="dxa"/>
            <w:vAlign w:val="bottom"/>
          </w:tcPr>
          <w:p>
            <w:pPr>
              <w:ind w:left="340"/>
              <w:spacing w:after="0"/>
              <w:rPr>
                <w:sz w:val="20"/>
                <w:szCs w:val="20"/>
                <w:color w:val="auto"/>
              </w:rPr>
            </w:pPr>
            <w:r>
              <w:rPr>
                <w:rFonts w:ascii="Arial" w:cs="Arial" w:eastAsia="Arial" w:hAnsi="Arial"/>
                <w:sz w:val="18"/>
                <w:szCs w:val="18"/>
                <w:color w:val="auto"/>
              </w:rPr>
              <w:t>Total costs and expenses</w:t>
            </w:r>
          </w:p>
        </w:tc>
        <w:tc>
          <w:tcPr>
            <w:tcW w:w="288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6"/>
              </w:rPr>
              <w:t>80,136,987</w:t>
            </w:r>
          </w:p>
        </w:tc>
        <w:tc>
          <w:tcPr>
            <w:tcW w:w="1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7"/>
              </w:rPr>
              <w:t>71,613,751</w:t>
            </w:r>
          </w:p>
        </w:tc>
        <w:tc>
          <w:tcPr>
            <w:tcW w:w="120" w:type="dxa"/>
            <w:vAlign w:val="bottom"/>
          </w:tcPr>
          <w:p>
            <w:pPr>
              <w:spacing w:after="0"/>
              <w:rPr>
                <w:sz w:val="20"/>
                <w:szCs w:val="20"/>
                <w:color w:val="auto"/>
              </w:rPr>
            </w:pPr>
          </w:p>
        </w:tc>
      </w:tr>
      <w:tr>
        <w:trPr>
          <w:trHeight w:val="216"/>
        </w:trPr>
        <w:tc>
          <w:tcPr>
            <w:tcW w:w="20" w:type="dxa"/>
            <w:vAlign w:val="bottom"/>
          </w:tcPr>
          <w:p>
            <w:pPr>
              <w:spacing w:after="0"/>
              <w:rPr>
                <w:sz w:val="18"/>
                <w:szCs w:val="18"/>
                <w:color w:val="auto"/>
              </w:rPr>
            </w:pPr>
          </w:p>
        </w:tc>
        <w:tc>
          <w:tcPr>
            <w:tcW w:w="58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Loss from operations</w:t>
            </w:r>
          </w:p>
        </w:tc>
        <w:tc>
          <w:tcPr>
            <w:tcW w:w="2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(96,703)</w:t>
            </w:r>
          </w:p>
        </w:tc>
        <w:tc>
          <w:tcPr>
            <w:tcW w:w="116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(4,660,242)</w:t>
            </w:r>
          </w:p>
        </w:tc>
      </w:tr>
      <w:tr>
        <w:trPr>
          <w:trHeight w:val="216"/>
        </w:trPr>
        <w:tc>
          <w:tcPr>
            <w:tcW w:w="20" w:type="dxa"/>
            <w:vAlign w:val="bottom"/>
          </w:tcPr>
          <w:p>
            <w:pPr>
              <w:spacing w:after="0"/>
              <w:rPr>
                <w:sz w:val="18"/>
                <w:szCs w:val="18"/>
                <w:color w:val="auto"/>
              </w:rPr>
            </w:pPr>
          </w:p>
        </w:tc>
        <w:tc>
          <w:tcPr>
            <w:tcW w:w="5880" w:type="dxa"/>
            <w:vAlign w:val="bottom"/>
          </w:tcPr>
          <w:p>
            <w:pPr>
              <w:spacing w:after="0"/>
              <w:rPr>
                <w:sz w:val="20"/>
                <w:szCs w:val="20"/>
                <w:color w:val="auto"/>
              </w:rPr>
            </w:pPr>
            <w:r>
              <w:rPr>
                <w:rFonts w:ascii="Arial" w:cs="Arial" w:eastAsia="Arial" w:hAnsi="Arial"/>
                <w:sz w:val="18"/>
                <w:szCs w:val="18"/>
                <w:color w:val="auto"/>
              </w:rPr>
              <w:t>Other expense, net</w:t>
            </w:r>
          </w:p>
        </w:tc>
        <w:tc>
          <w:tcPr>
            <w:tcW w:w="2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gridSpan w:val="2"/>
          </w:tcPr>
          <w:p>
            <w:pPr>
              <w:jc w:val="right"/>
              <w:ind w:right="140"/>
              <w:spacing w:after="0"/>
              <w:rPr>
                <w:sz w:val="20"/>
                <w:szCs w:val="20"/>
                <w:color w:val="auto"/>
              </w:rPr>
            </w:pPr>
            <w:r>
              <w:rPr>
                <w:rFonts w:ascii="Arial" w:cs="Arial" w:eastAsia="Arial" w:hAnsi="Arial"/>
                <w:sz w:val="18"/>
                <w:szCs w:val="18"/>
                <w:color w:val="auto"/>
              </w:rPr>
              <w:t>(23,144)</w:t>
            </w:r>
          </w:p>
        </w:tc>
        <w:tc>
          <w:tcPr>
            <w:tcW w:w="1160" w:type="dxa"/>
            <w:vAlign w:val="bottom"/>
            <w:gridSpan w:val="3"/>
          </w:tcPr>
          <w:p>
            <w:pPr>
              <w:jc w:val="right"/>
              <w:ind w:right="60"/>
              <w:spacing w:after="0"/>
              <w:rPr>
                <w:sz w:val="20"/>
                <w:szCs w:val="20"/>
                <w:color w:val="auto"/>
              </w:rPr>
            </w:pPr>
            <w:r>
              <w:rPr>
                <w:rFonts w:ascii="Arial" w:cs="Arial" w:eastAsia="Arial" w:hAnsi="Arial"/>
                <w:sz w:val="18"/>
                <w:szCs w:val="18"/>
                <w:color w:val="auto"/>
              </w:rPr>
              <w:t>(74,727)</w:t>
            </w:r>
          </w:p>
        </w:tc>
      </w:tr>
      <w:tr>
        <w:trPr>
          <w:trHeight w:val="27"/>
        </w:trPr>
        <w:tc>
          <w:tcPr>
            <w:tcW w:w="20" w:type="dxa"/>
            <w:vAlign w:val="bottom"/>
          </w:tcPr>
          <w:p>
            <w:pPr>
              <w:spacing w:after="0"/>
              <w:rPr>
                <w:sz w:val="2"/>
                <w:szCs w:val="2"/>
                <w:color w:val="auto"/>
              </w:rPr>
            </w:pPr>
          </w:p>
        </w:tc>
        <w:tc>
          <w:tcPr>
            <w:tcW w:w="5880" w:type="dxa"/>
            <w:vAlign w:val="bottom"/>
          </w:tcPr>
          <w:p>
            <w:pPr>
              <w:spacing w:after="0"/>
              <w:rPr>
                <w:sz w:val="2"/>
                <w:szCs w:val="2"/>
                <w:color w:val="auto"/>
              </w:rPr>
            </w:pPr>
          </w:p>
        </w:tc>
        <w:tc>
          <w:tcPr>
            <w:tcW w:w="28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40" w:type="dxa"/>
            <w:vAlign w:val="bottom"/>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r>
      <w:tr>
        <w:trPr>
          <w:trHeight w:val="216"/>
        </w:trPr>
        <w:tc>
          <w:tcPr>
            <w:tcW w:w="20" w:type="dxa"/>
            <w:vAlign w:val="bottom"/>
          </w:tcPr>
          <w:p>
            <w:pPr>
              <w:spacing w:after="0"/>
              <w:rPr>
                <w:sz w:val="18"/>
                <w:szCs w:val="18"/>
                <w:color w:val="auto"/>
              </w:rPr>
            </w:pPr>
          </w:p>
        </w:tc>
        <w:tc>
          <w:tcPr>
            <w:tcW w:w="58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Net loss</w:t>
            </w:r>
          </w:p>
        </w:tc>
        <w:tc>
          <w:tcPr>
            <w:tcW w:w="2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(119,847)</w:t>
            </w:r>
          </w:p>
        </w:tc>
        <w:tc>
          <w:tcPr>
            <w:tcW w:w="116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(4,734,969)</w:t>
            </w:r>
          </w:p>
        </w:tc>
      </w:tr>
      <w:tr>
        <w:trPr>
          <w:trHeight w:val="223"/>
        </w:trPr>
        <w:tc>
          <w:tcPr>
            <w:tcW w:w="20" w:type="dxa"/>
            <w:vAlign w:val="bottom"/>
          </w:tcPr>
          <w:p>
            <w:pPr>
              <w:spacing w:after="0"/>
              <w:rPr>
                <w:sz w:val="19"/>
                <w:szCs w:val="19"/>
                <w:color w:val="auto"/>
              </w:rPr>
            </w:pPr>
          </w:p>
        </w:tc>
        <w:tc>
          <w:tcPr>
            <w:tcW w:w="5880" w:type="dxa"/>
            <w:vAlign w:val="bottom"/>
          </w:tcPr>
          <w:p>
            <w:pPr>
              <w:spacing w:after="0"/>
              <w:rPr>
                <w:sz w:val="20"/>
                <w:szCs w:val="20"/>
                <w:color w:val="auto"/>
              </w:rPr>
            </w:pPr>
            <w:r>
              <w:rPr>
                <w:rFonts w:ascii="Arial" w:cs="Arial" w:eastAsia="Arial" w:hAnsi="Arial"/>
                <w:sz w:val="18"/>
                <w:szCs w:val="18"/>
                <w:color w:val="auto"/>
              </w:rPr>
              <w:t>Effect of translation adjustments</w:t>
            </w:r>
          </w:p>
        </w:tc>
        <w:tc>
          <w:tcPr>
            <w:tcW w:w="288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73,686</w:t>
            </w: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4,731</w:t>
            </w:r>
          </w:p>
        </w:tc>
        <w:tc>
          <w:tcPr>
            <w:tcW w:w="12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58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Total comprehensive loss</w:t>
            </w:r>
          </w:p>
        </w:tc>
        <w:tc>
          <w:tcPr>
            <w:tcW w:w="29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(46,161)</w:t>
            </w:r>
          </w:p>
        </w:tc>
        <w:tc>
          <w:tcPr>
            <w:tcW w:w="116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 (4,730,238)</w:t>
            </w:r>
          </w:p>
        </w:tc>
      </w:tr>
      <w:tr>
        <w:trPr>
          <w:trHeight w:val="20"/>
        </w:trPr>
        <w:tc>
          <w:tcPr>
            <w:tcW w:w="20" w:type="dxa"/>
            <w:vAlign w:val="bottom"/>
          </w:tcPr>
          <w:p>
            <w:pPr>
              <w:spacing w:after="0" w:line="20" w:lineRule="exact"/>
              <w:rPr>
                <w:sz w:val="1"/>
                <w:szCs w:val="1"/>
                <w:color w:val="auto"/>
              </w:rPr>
            </w:pPr>
          </w:p>
        </w:tc>
        <w:tc>
          <w:tcPr>
            <w:tcW w:w="5880" w:type="dxa"/>
            <w:vAlign w:val="bottom"/>
          </w:tcPr>
          <w:p>
            <w:pPr>
              <w:spacing w:after="0" w:line="20" w:lineRule="exact"/>
              <w:rPr>
                <w:sz w:val="1"/>
                <w:szCs w:val="1"/>
                <w:color w:val="auto"/>
              </w:rPr>
            </w:pPr>
          </w:p>
        </w:tc>
        <w:tc>
          <w:tcPr>
            <w:tcW w:w="28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15"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158"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040"/>
          </w:cols>
          <w:pgMar w:left="440" w:top="270" w:right="419" w:bottom="1440" w:gutter="0" w:footer="0" w:header="0"/>
        </w:sectPr>
      </w:pPr>
    </w:p>
    <w:bookmarkStart w:id="9" w:name="page10"/>
    <w:bookmarkEnd w:id="9"/>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SiriusDecisions, Inc. and Subsidiaries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Consolidated Statements of Changes in Convertible Preferred Stock and Stockholders’ Deficiency</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Years Ended March 31, 2018 and 2017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14605</wp:posOffset>
            </wp:positionV>
            <wp:extent cx="6997700" cy="88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6997700" cy="8890"/>
                    </a:xfrm>
                    <a:prstGeom prst="rect">
                      <a:avLst/>
                    </a:prstGeom>
                    <a:noFill/>
                  </pic:spPr>
                </pic:pic>
              </a:graphicData>
            </a:graphic>
          </wp:anchor>
        </w:drawing>
      </w:r>
    </w:p>
    <w:p>
      <w:pPr>
        <w:spacing w:after="0" w:line="26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660" w:type="dxa"/>
            <w:vAlign w:val="bottom"/>
          </w:tcPr>
          <w:p>
            <w:pPr>
              <w:spacing w:after="0"/>
              <w:rPr>
                <w:sz w:val="14"/>
                <w:szCs w:val="14"/>
                <w:color w:val="auto"/>
              </w:rPr>
            </w:pPr>
          </w:p>
        </w:tc>
        <w:tc>
          <w:tcPr>
            <w:tcW w:w="1920" w:type="dxa"/>
            <w:vAlign w:val="bottom"/>
            <w:gridSpan w:val="3"/>
          </w:tcPr>
          <w:p>
            <w:pPr>
              <w:jc w:val="right"/>
              <w:ind w:right="259"/>
              <w:spacing w:after="0"/>
              <w:rPr>
                <w:sz w:val="20"/>
                <w:szCs w:val="20"/>
                <w:color w:val="auto"/>
              </w:rPr>
            </w:pPr>
            <w:r>
              <w:rPr>
                <w:rFonts w:ascii="Arial" w:cs="Arial" w:eastAsia="Arial" w:hAnsi="Arial"/>
                <w:sz w:val="14"/>
                <w:szCs w:val="14"/>
                <w:b w:val="1"/>
                <w:bCs w:val="1"/>
                <w:color w:val="auto"/>
              </w:rPr>
              <w:t>Series A Convertible</w:t>
            </w:r>
          </w:p>
        </w:tc>
        <w:tc>
          <w:tcPr>
            <w:tcW w:w="160" w:type="dxa"/>
            <w:vAlign w:val="bottom"/>
          </w:tcPr>
          <w:p>
            <w:pPr>
              <w:spacing w:after="0"/>
              <w:rPr>
                <w:sz w:val="14"/>
                <w:szCs w:val="14"/>
                <w:color w:val="auto"/>
              </w:rPr>
            </w:pPr>
          </w:p>
        </w:tc>
        <w:tc>
          <w:tcPr>
            <w:tcW w:w="1620" w:type="dxa"/>
            <w:vAlign w:val="bottom"/>
            <w:gridSpan w:val="3"/>
            <w:vMerge w:val="restart"/>
          </w:tcPr>
          <w:p>
            <w:pPr>
              <w:jc w:val="right"/>
              <w:ind w:right="270"/>
              <w:spacing w:after="0"/>
              <w:rPr>
                <w:sz w:val="20"/>
                <w:szCs w:val="20"/>
                <w:color w:val="auto"/>
              </w:rPr>
            </w:pPr>
            <w:r>
              <w:rPr>
                <w:rFonts w:ascii="Arial" w:cs="Arial" w:eastAsia="Arial" w:hAnsi="Arial"/>
                <w:sz w:val="14"/>
                <w:szCs w:val="14"/>
                <w:b w:val="1"/>
                <w:bCs w:val="1"/>
                <w:color w:val="auto"/>
              </w:rPr>
              <w:t>Common Stock</w:t>
            </w:r>
          </w:p>
        </w:tc>
        <w:tc>
          <w:tcPr>
            <w:tcW w:w="140" w:type="dxa"/>
            <w:vAlign w:val="bottom"/>
          </w:tcPr>
          <w:p>
            <w:pPr>
              <w:spacing w:after="0"/>
              <w:rPr>
                <w:sz w:val="14"/>
                <w:szCs w:val="14"/>
                <w:color w:val="auto"/>
              </w:rPr>
            </w:pPr>
          </w:p>
        </w:tc>
        <w:tc>
          <w:tcPr>
            <w:tcW w:w="840" w:type="dxa"/>
            <w:vAlign w:val="bottom"/>
            <w:gridSpan w:val="3"/>
            <w:vMerge w:val="restart"/>
          </w:tcPr>
          <w:p>
            <w:pPr>
              <w:jc w:val="right"/>
              <w:ind w:right="140"/>
              <w:spacing w:after="0"/>
              <w:rPr>
                <w:sz w:val="20"/>
                <w:szCs w:val="20"/>
                <w:color w:val="auto"/>
              </w:rPr>
            </w:pPr>
            <w:r>
              <w:rPr>
                <w:rFonts w:ascii="Arial" w:cs="Arial" w:eastAsia="Arial" w:hAnsi="Arial"/>
                <w:sz w:val="14"/>
                <w:szCs w:val="14"/>
                <w:b w:val="1"/>
                <w:bCs w:val="1"/>
                <w:color w:val="auto"/>
                <w:w w:val="99"/>
              </w:rPr>
              <w:t>Additional</w:t>
            </w:r>
          </w:p>
        </w:tc>
        <w:tc>
          <w:tcPr>
            <w:tcW w:w="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0" w:type="dxa"/>
            <w:vAlign w:val="bottom"/>
            <w:gridSpan w:val="4"/>
            <w:vMerge w:val="restart"/>
          </w:tcPr>
          <w:p>
            <w:pPr>
              <w:ind w:left="60"/>
              <w:spacing w:after="0"/>
              <w:rPr>
                <w:sz w:val="20"/>
                <w:szCs w:val="20"/>
                <w:color w:val="auto"/>
              </w:rPr>
            </w:pPr>
            <w:r>
              <w:rPr>
                <w:rFonts w:ascii="Arial" w:cs="Arial" w:eastAsia="Arial" w:hAnsi="Arial"/>
                <w:sz w:val="14"/>
                <w:szCs w:val="14"/>
                <w:b w:val="1"/>
                <w:bCs w:val="1"/>
                <w:color w:val="auto"/>
              </w:rPr>
              <w:t>Accumulated Other</w:t>
            </w:r>
          </w:p>
        </w:tc>
        <w:tc>
          <w:tcPr>
            <w:tcW w:w="60" w:type="dxa"/>
            <w:vAlign w:val="bottom"/>
          </w:tcPr>
          <w:p>
            <w:pPr>
              <w:spacing w:after="0"/>
              <w:rPr>
                <w:sz w:val="14"/>
                <w:szCs w:val="14"/>
                <w:color w:val="auto"/>
              </w:rPr>
            </w:pPr>
          </w:p>
        </w:tc>
        <w:tc>
          <w:tcPr>
            <w:tcW w:w="1080" w:type="dxa"/>
            <w:vAlign w:val="bottom"/>
            <w:gridSpan w:val="2"/>
            <w:vMerge w:val="restart"/>
          </w:tcPr>
          <w:p>
            <w:pPr>
              <w:jc w:val="center"/>
              <w:ind w:right="140"/>
              <w:spacing w:after="0"/>
              <w:rPr>
                <w:sz w:val="20"/>
                <w:szCs w:val="20"/>
                <w:color w:val="auto"/>
              </w:rPr>
            </w:pPr>
            <w:r>
              <w:rPr>
                <w:rFonts w:ascii="Arial" w:cs="Arial" w:eastAsia="Arial" w:hAnsi="Arial"/>
                <w:sz w:val="14"/>
                <w:szCs w:val="14"/>
                <w:b w:val="1"/>
                <w:bCs w:val="1"/>
                <w:color w:val="auto"/>
                <w:w w:val="89"/>
              </w:rPr>
              <w:t>Total</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2660" w:type="dxa"/>
            <w:vAlign w:val="bottom"/>
          </w:tcPr>
          <w:p>
            <w:pPr>
              <w:spacing w:after="0"/>
              <w:rPr>
                <w:sz w:val="14"/>
                <w:szCs w:val="14"/>
                <w:color w:val="auto"/>
              </w:rPr>
            </w:pPr>
          </w:p>
        </w:tc>
        <w:tc>
          <w:tcPr>
            <w:tcW w:w="192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w w:val="95"/>
              </w:rPr>
              <w:t>Redeemable Preferred Stock</w:t>
            </w:r>
          </w:p>
        </w:tc>
        <w:tc>
          <w:tcPr>
            <w:tcW w:w="160" w:type="dxa"/>
            <w:vAlign w:val="bottom"/>
          </w:tcPr>
          <w:p>
            <w:pPr>
              <w:spacing w:after="0"/>
              <w:rPr>
                <w:sz w:val="14"/>
                <w:szCs w:val="14"/>
                <w:color w:val="auto"/>
              </w:rPr>
            </w:pPr>
          </w:p>
        </w:tc>
        <w:tc>
          <w:tcPr>
            <w:tcW w:w="1620" w:type="dxa"/>
            <w:vAlign w:val="bottom"/>
            <w:tcBorders>
              <w:bottom w:val="single" w:sz="8" w:color="auto"/>
            </w:tcBorders>
            <w:gridSpan w:val="3"/>
            <w:vMerge w:val="continue"/>
          </w:tcPr>
          <w:p>
            <w:pPr>
              <w:spacing w:after="0"/>
              <w:rPr>
                <w:sz w:val="14"/>
                <w:szCs w:val="14"/>
                <w:color w:val="auto"/>
              </w:rPr>
            </w:pPr>
          </w:p>
        </w:tc>
        <w:tc>
          <w:tcPr>
            <w:tcW w:w="140" w:type="dxa"/>
            <w:vAlign w:val="bottom"/>
          </w:tcPr>
          <w:p>
            <w:pPr>
              <w:spacing w:after="0"/>
              <w:rPr>
                <w:sz w:val="14"/>
                <w:szCs w:val="14"/>
                <w:color w:val="auto"/>
              </w:rPr>
            </w:pPr>
          </w:p>
        </w:tc>
        <w:tc>
          <w:tcPr>
            <w:tcW w:w="840" w:type="dxa"/>
            <w:vAlign w:val="bottom"/>
            <w:gridSpan w:val="3"/>
            <w:vMerge w:val="continue"/>
          </w:tcPr>
          <w:p>
            <w:pPr>
              <w:spacing w:after="0"/>
              <w:rPr>
                <w:sz w:val="14"/>
                <w:szCs w:val="14"/>
                <w:color w:val="auto"/>
              </w:rPr>
            </w:pPr>
          </w:p>
        </w:tc>
        <w:tc>
          <w:tcPr>
            <w:tcW w:w="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0" w:type="dxa"/>
            <w:vAlign w:val="bottom"/>
            <w:gridSpan w:val="4"/>
            <w:vMerge w:val="continue"/>
          </w:tcPr>
          <w:p>
            <w:pPr>
              <w:spacing w:after="0"/>
              <w:rPr>
                <w:sz w:val="14"/>
                <w:szCs w:val="14"/>
                <w:color w:val="auto"/>
              </w:rPr>
            </w:pPr>
          </w:p>
        </w:tc>
        <w:tc>
          <w:tcPr>
            <w:tcW w:w="60" w:type="dxa"/>
            <w:vAlign w:val="bottom"/>
          </w:tcPr>
          <w:p>
            <w:pPr>
              <w:spacing w:after="0"/>
              <w:rPr>
                <w:sz w:val="14"/>
                <w:szCs w:val="14"/>
                <w:color w:val="auto"/>
              </w:rPr>
            </w:pPr>
          </w:p>
        </w:tc>
        <w:tc>
          <w:tcPr>
            <w:tcW w:w="108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2660" w:type="dxa"/>
            <w:vAlign w:val="bottom"/>
          </w:tcPr>
          <w:p>
            <w:pPr>
              <w:spacing w:after="0"/>
              <w:rPr>
                <w:sz w:val="10"/>
                <w:szCs w:val="10"/>
                <w:color w:val="auto"/>
              </w:rPr>
            </w:pPr>
          </w:p>
        </w:tc>
        <w:tc>
          <w:tcPr>
            <w:tcW w:w="860" w:type="dxa"/>
            <w:vAlign w:val="bottom"/>
          </w:tcPr>
          <w:p>
            <w:pPr>
              <w:jc w:val="right"/>
              <w:ind w:right="21"/>
              <w:spacing w:after="0" w:line="119" w:lineRule="exact"/>
              <w:rPr>
                <w:sz w:val="20"/>
                <w:szCs w:val="20"/>
                <w:color w:val="auto"/>
              </w:rPr>
            </w:pPr>
            <w:r>
              <w:rPr>
                <w:rFonts w:ascii="Arial" w:cs="Arial" w:eastAsia="Arial" w:hAnsi="Arial"/>
                <w:sz w:val="13"/>
                <w:szCs w:val="13"/>
                <w:b w:val="1"/>
                <w:bCs w:val="1"/>
                <w:color w:val="auto"/>
              </w:rPr>
              <w:t>Number of</w:t>
            </w:r>
          </w:p>
        </w:tc>
        <w:tc>
          <w:tcPr>
            <w:tcW w:w="160" w:type="dxa"/>
            <w:vAlign w:val="bottom"/>
          </w:tcPr>
          <w:p>
            <w:pPr>
              <w:spacing w:after="0"/>
              <w:rPr>
                <w:sz w:val="10"/>
                <w:szCs w:val="10"/>
                <w:color w:val="auto"/>
              </w:rPr>
            </w:pPr>
          </w:p>
        </w:tc>
        <w:tc>
          <w:tcPr>
            <w:tcW w:w="900" w:type="dxa"/>
            <w:vAlign w:val="bottom"/>
            <w:vMerge w:val="restart"/>
          </w:tcPr>
          <w:p>
            <w:pPr>
              <w:jc w:val="right"/>
              <w:ind w:right="79"/>
              <w:spacing w:after="0"/>
              <w:rPr>
                <w:sz w:val="20"/>
                <w:szCs w:val="20"/>
                <w:color w:val="auto"/>
              </w:rPr>
            </w:pPr>
            <w:r>
              <w:rPr>
                <w:rFonts w:ascii="Arial" w:cs="Arial" w:eastAsia="Arial" w:hAnsi="Arial"/>
                <w:sz w:val="14"/>
                <w:szCs w:val="14"/>
                <w:b w:val="1"/>
                <w:bCs w:val="1"/>
                <w:color w:val="auto"/>
              </w:rPr>
              <w:t>Par Value</w:t>
            </w:r>
          </w:p>
        </w:tc>
        <w:tc>
          <w:tcPr>
            <w:tcW w:w="160" w:type="dxa"/>
            <w:vAlign w:val="bottom"/>
          </w:tcPr>
          <w:p>
            <w:pPr>
              <w:spacing w:after="0"/>
              <w:rPr>
                <w:sz w:val="10"/>
                <w:szCs w:val="10"/>
                <w:color w:val="auto"/>
              </w:rPr>
            </w:pPr>
          </w:p>
        </w:tc>
        <w:tc>
          <w:tcPr>
            <w:tcW w:w="860" w:type="dxa"/>
            <w:vAlign w:val="bottom"/>
          </w:tcPr>
          <w:p>
            <w:pPr>
              <w:jc w:val="right"/>
              <w:ind w:right="25"/>
              <w:spacing w:after="0" w:line="119" w:lineRule="exact"/>
              <w:rPr>
                <w:sz w:val="20"/>
                <w:szCs w:val="20"/>
                <w:color w:val="auto"/>
              </w:rPr>
            </w:pPr>
            <w:r>
              <w:rPr>
                <w:rFonts w:ascii="Arial" w:cs="Arial" w:eastAsia="Arial" w:hAnsi="Arial"/>
                <w:sz w:val="13"/>
                <w:szCs w:val="13"/>
                <w:b w:val="1"/>
                <w:bCs w:val="1"/>
                <w:color w:val="auto"/>
              </w:rPr>
              <w:t>Number of</w:t>
            </w:r>
          </w:p>
        </w:tc>
        <w:tc>
          <w:tcPr>
            <w:tcW w:w="760" w:type="dxa"/>
            <w:vAlign w:val="bottom"/>
            <w:gridSpan w:val="2"/>
            <w:vMerge w:val="restart"/>
          </w:tcPr>
          <w:p>
            <w:pPr>
              <w:jc w:val="right"/>
              <w:spacing w:after="0"/>
              <w:rPr>
                <w:sz w:val="20"/>
                <w:szCs w:val="20"/>
                <w:color w:val="auto"/>
              </w:rPr>
            </w:pPr>
            <w:r>
              <w:rPr>
                <w:rFonts w:ascii="Arial" w:cs="Arial" w:eastAsia="Arial" w:hAnsi="Arial"/>
                <w:sz w:val="14"/>
                <w:szCs w:val="14"/>
                <w:b w:val="1"/>
                <w:bCs w:val="1"/>
                <w:color w:val="auto"/>
              </w:rPr>
              <w:t>Par Value</w:t>
            </w:r>
          </w:p>
        </w:tc>
        <w:tc>
          <w:tcPr>
            <w:tcW w:w="1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60" w:type="dxa"/>
            <w:vAlign w:val="bottom"/>
            <w:gridSpan w:val="2"/>
          </w:tcPr>
          <w:p>
            <w:pPr>
              <w:jc w:val="right"/>
              <w:ind w:right="260"/>
              <w:spacing w:after="0" w:line="119" w:lineRule="exact"/>
              <w:rPr>
                <w:sz w:val="20"/>
                <w:szCs w:val="20"/>
                <w:color w:val="auto"/>
              </w:rPr>
            </w:pPr>
            <w:r>
              <w:rPr>
                <w:rFonts w:ascii="Arial" w:cs="Arial" w:eastAsia="Arial" w:hAnsi="Arial"/>
                <w:sz w:val="13"/>
                <w:szCs w:val="13"/>
                <w:b w:val="1"/>
                <w:bCs w:val="1"/>
                <w:color w:val="auto"/>
              </w:rPr>
              <w:t>Paid-in</w:t>
            </w:r>
          </w:p>
        </w:tc>
        <w:tc>
          <w:tcPr>
            <w:tcW w:w="60" w:type="dxa"/>
            <w:vAlign w:val="bottom"/>
          </w:tcPr>
          <w:p>
            <w:pPr>
              <w:spacing w:after="0"/>
              <w:rPr>
                <w:sz w:val="10"/>
                <w:szCs w:val="10"/>
                <w:color w:val="auto"/>
              </w:rPr>
            </w:pPr>
          </w:p>
        </w:tc>
        <w:tc>
          <w:tcPr>
            <w:tcW w:w="1080" w:type="dxa"/>
            <w:vAlign w:val="bottom"/>
            <w:gridSpan w:val="2"/>
          </w:tcPr>
          <w:p>
            <w:pPr>
              <w:jc w:val="right"/>
              <w:ind w:right="180"/>
              <w:spacing w:after="0" w:line="119" w:lineRule="exact"/>
              <w:rPr>
                <w:sz w:val="20"/>
                <w:szCs w:val="20"/>
                <w:color w:val="auto"/>
              </w:rPr>
            </w:pPr>
            <w:r>
              <w:rPr>
                <w:rFonts w:ascii="Arial" w:cs="Arial" w:eastAsia="Arial" w:hAnsi="Arial"/>
                <w:sz w:val="13"/>
                <w:szCs w:val="13"/>
                <w:b w:val="1"/>
                <w:bCs w:val="1"/>
                <w:color w:val="auto"/>
              </w:rPr>
              <w:t>Accumulated</w:t>
            </w:r>
          </w:p>
        </w:tc>
        <w:tc>
          <w:tcPr>
            <w:tcW w:w="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40" w:type="dxa"/>
            <w:vAlign w:val="bottom"/>
            <w:gridSpan w:val="2"/>
          </w:tcPr>
          <w:p>
            <w:pPr>
              <w:jc w:val="right"/>
              <w:ind w:right="260"/>
              <w:spacing w:after="0" w:line="119" w:lineRule="exact"/>
              <w:rPr>
                <w:sz w:val="20"/>
                <w:szCs w:val="20"/>
                <w:color w:val="auto"/>
              </w:rPr>
            </w:pPr>
            <w:r>
              <w:rPr>
                <w:rFonts w:ascii="Arial" w:cs="Arial" w:eastAsia="Arial" w:hAnsi="Arial"/>
                <w:sz w:val="13"/>
                <w:szCs w:val="13"/>
                <w:b w:val="1"/>
                <w:bCs w:val="1"/>
                <w:color w:val="auto"/>
                <w:w w:val="98"/>
              </w:rPr>
              <w:t>Comprehensive</w:t>
            </w:r>
          </w:p>
        </w:tc>
        <w:tc>
          <w:tcPr>
            <w:tcW w:w="60" w:type="dxa"/>
            <w:vAlign w:val="bottom"/>
          </w:tcPr>
          <w:p>
            <w:pPr>
              <w:spacing w:after="0"/>
              <w:rPr>
                <w:sz w:val="10"/>
                <w:szCs w:val="10"/>
                <w:color w:val="auto"/>
              </w:rPr>
            </w:pPr>
          </w:p>
        </w:tc>
        <w:tc>
          <w:tcPr>
            <w:tcW w:w="1080" w:type="dxa"/>
            <w:vAlign w:val="bottom"/>
            <w:gridSpan w:val="2"/>
          </w:tcPr>
          <w:p>
            <w:pPr>
              <w:jc w:val="center"/>
              <w:ind w:right="140"/>
              <w:spacing w:after="0" w:line="119" w:lineRule="exact"/>
              <w:rPr>
                <w:sz w:val="20"/>
                <w:szCs w:val="20"/>
                <w:color w:val="auto"/>
              </w:rPr>
            </w:pPr>
            <w:r>
              <w:rPr>
                <w:rFonts w:ascii="Arial" w:cs="Arial" w:eastAsia="Arial" w:hAnsi="Arial"/>
                <w:sz w:val="13"/>
                <w:szCs w:val="13"/>
                <w:b w:val="1"/>
                <w:bCs w:val="1"/>
                <w:color w:val="auto"/>
                <w:w w:val="99"/>
              </w:rPr>
              <w:t>Stockholders’</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2660" w:type="dxa"/>
            <w:vAlign w:val="bottom"/>
          </w:tcPr>
          <w:p>
            <w:pPr>
              <w:spacing w:after="0"/>
              <w:rPr>
                <w:sz w:val="14"/>
                <w:szCs w:val="14"/>
                <w:color w:val="auto"/>
              </w:rPr>
            </w:pPr>
          </w:p>
        </w:tc>
        <w:tc>
          <w:tcPr>
            <w:tcW w:w="860" w:type="dxa"/>
            <w:vAlign w:val="bottom"/>
          </w:tcPr>
          <w:p>
            <w:pPr>
              <w:jc w:val="right"/>
              <w:ind w:right="141"/>
              <w:spacing w:after="0"/>
              <w:rPr>
                <w:sz w:val="20"/>
                <w:szCs w:val="20"/>
                <w:color w:val="auto"/>
              </w:rPr>
            </w:pPr>
            <w:r>
              <w:rPr>
                <w:rFonts w:ascii="Arial" w:cs="Arial" w:eastAsia="Arial" w:hAnsi="Arial"/>
                <w:sz w:val="14"/>
                <w:szCs w:val="14"/>
                <w:b w:val="1"/>
                <w:bCs w:val="1"/>
                <w:color w:val="auto"/>
              </w:rPr>
              <w:t>Shares</w:t>
            </w:r>
          </w:p>
        </w:tc>
        <w:tc>
          <w:tcPr>
            <w:tcW w:w="160" w:type="dxa"/>
            <w:vAlign w:val="bottom"/>
          </w:tcPr>
          <w:p>
            <w:pPr>
              <w:spacing w:after="0"/>
              <w:rPr>
                <w:sz w:val="14"/>
                <w:szCs w:val="14"/>
                <w:color w:val="auto"/>
              </w:rPr>
            </w:pPr>
          </w:p>
        </w:tc>
        <w:tc>
          <w:tcPr>
            <w:tcW w:w="900" w:type="dxa"/>
            <w:vAlign w:val="bottom"/>
            <w:vMerge w:val="continue"/>
          </w:tcPr>
          <w:p>
            <w:pPr>
              <w:spacing w:after="0"/>
              <w:rPr>
                <w:sz w:val="14"/>
                <w:szCs w:val="14"/>
                <w:color w:val="auto"/>
              </w:rPr>
            </w:pPr>
          </w:p>
        </w:tc>
        <w:tc>
          <w:tcPr>
            <w:tcW w:w="160" w:type="dxa"/>
            <w:vAlign w:val="bottom"/>
          </w:tcPr>
          <w:p>
            <w:pPr>
              <w:spacing w:after="0"/>
              <w:rPr>
                <w:sz w:val="14"/>
                <w:szCs w:val="14"/>
                <w:color w:val="auto"/>
              </w:rPr>
            </w:pPr>
          </w:p>
        </w:tc>
        <w:tc>
          <w:tcPr>
            <w:tcW w:w="860" w:type="dxa"/>
            <w:vAlign w:val="bottom"/>
          </w:tcPr>
          <w:p>
            <w:pPr>
              <w:jc w:val="right"/>
              <w:ind w:right="165"/>
              <w:spacing w:after="0"/>
              <w:rPr>
                <w:sz w:val="20"/>
                <w:szCs w:val="20"/>
                <w:color w:val="auto"/>
              </w:rPr>
            </w:pPr>
            <w:r>
              <w:rPr>
                <w:rFonts w:ascii="Arial" w:cs="Arial" w:eastAsia="Arial" w:hAnsi="Arial"/>
                <w:sz w:val="14"/>
                <w:szCs w:val="14"/>
                <w:b w:val="1"/>
                <w:bCs w:val="1"/>
                <w:color w:val="auto"/>
              </w:rPr>
              <w:t>Shares</w:t>
            </w:r>
          </w:p>
        </w:tc>
        <w:tc>
          <w:tcPr>
            <w:tcW w:w="760" w:type="dxa"/>
            <w:vAlign w:val="bottom"/>
            <w:gridSpan w:val="2"/>
            <w:vMerge w:val="continue"/>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60" w:type="dxa"/>
            <w:vAlign w:val="bottom"/>
            <w:gridSpan w:val="2"/>
          </w:tcPr>
          <w:p>
            <w:pPr>
              <w:jc w:val="right"/>
              <w:ind w:right="240"/>
              <w:spacing w:after="0"/>
              <w:rPr>
                <w:sz w:val="20"/>
                <w:szCs w:val="20"/>
                <w:color w:val="auto"/>
              </w:rPr>
            </w:pPr>
            <w:r>
              <w:rPr>
                <w:rFonts w:ascii="Arial" w:cs="Arial" w:eastAsia="Arial" w:hAnsi="Arial"/>
                <w:sz w:val="14"/>
                <w:szCs w:val="14"/>
                <w:b w:val="1"/>
                <w:bCs w:val="1"/>
                <w:color w:val="auto"/>
              </w:rPr>
              <w:t>Capital</w:t>
            </w:r>
          </w:p>
        </w:tc>
        <w:tc>
          <w:tcPr>
            <w:tcW w:w="60" w:type="dxa"/>
            <w:vAlign w:val="bottom"/>
          </w:tcPr>
          <w:p>
            <w:pPr>
              <w:spacing w:after="0"/>
              <w:rPr>
                <w:sz w:val="14"/>
                <w:szCs w:val="14"/>
                <w:color w:val="auto"/>
              </w:rPr>
            </w:pPr>
          </w:p>
        </w:tc>
        <w:tc>
          <w:tcPr>
            <w:tcW w:w="1080" w:type="dxa"/>
            <w:vAlign w:val="bottom"/>
            <w:gridSpan w:val="2"/>
          </w:tcPr>
          <w:p>
            <w:pPr>
              <w:jc w:val="right"/>
              <w:ind w:right="400"/>
              <w:spacing w:after="0"/>
              <w:rPr>
                <w:sz w:val="20"/>
                <w:szCs w:val="20"/>
                <w:color w:val="auto"/>
              </w:rPr>
            </w:pPr>
            <w:r>
              <w:rPr>
                <w:rFonts w:ascii="Arial" w:cs="Arial" w:eastAsia="Arial" w:hAnsi="Arial"/>
                <w:sz w:val="14"/>
                <w:szCs w:val="14"/>
                <w:b w:val="1"/>
                <w:bCs w:val="1"/>
                <w:color w:val="auto"/>
              </w:rPr>
              <w:t>Deficit</w:t>
            </w: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40" w:type="dxa"/>
            <w:vAlign w:val="bottom"/>
            <w:gridSpan w:val="2"/>
          </w:tcPr>
          <w:p>
            <w:pPr>
              <w:jc w:val="right"/>
              <w:ind w:right="300"/>
              <w:spacing w:after="0"/>
              <w:rPr>
                <w:sz w:val="20"/>
                <w:szCs w:val="20"/>
                <w:color w:val="auto"/>
              </w:rPr>
            </w:pPr>
            <w:r>
              <w:rPr>
                <w:rFonts w:ascii="Arial" w:cs="Arial" w:eastAsia="Arial" w:hAnsi="Arial"/>
                <w:sz w:val="14"/>
                <w:szCs w:val="14"/>
                <w:b w:val="1"/>
                <w:bCs w:val="1"/>
                <w:color w:val="auto"/>
                <w:w w:val="96"/>
              </w:rPr>
              <w:t>Income (Loss)</w:t>
            </w:r>
          </w:p>
        </w:tc>
        <w:tc>
          <w:tcPr>
            <w:tcW w:w="60" w:type="dxa"/>
            <w:vAlign w:val="bottom"/>
          </w:tcPr>
          <w:p>
            <w:pPr>
              <w:spacing w:after="0"/>
              <w:rPr>
                <w:sz w:val="14"/>
                <w:szCs w:val="14"/>
                <w:color w:val="auto"/>
              </w:rPr>
            </w:pPr>
          </w:p>
        </w:tc>
        <w:tc>
          <w:tcPr>
            <w:tcW w:w="108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w w:val="88"/>
              </w:rPr>
              <w:t>Deficiency</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6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Balances as of March 31, 2016</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3"/>
              </w:rPr>
              <w:t>16,912,500</w:t>
            </w:r>
          </w:p>
        </w:tc>
        <w:tc>
          <w:tcPr>
            <w:tcW w:w="10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$43,787,986</w:t>
            </w:r>
          </w:p>
        </w:tc>
        <w:tc>
          <w:tcPr>
            <w:tcW w:w="10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29,139,564</w:t>
            </w:r>
          </w:p>
        </w:tc>
        <w:tc>
          <w:tcPr>
            <w:tcW w:w="7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$ 29,139</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14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w w:val="96"/>
              </w:rPr>
              <w:t>$(57,638,806)</w:t>
            </w:r>
          </w:p>
        </w:tc>
        <w:tc>
          <w:tcPr>
            <w:tcW w:w="16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w w:val="79"/>
              </w:rPr>
              <w:t>$</w:t>
            </w:r>
          </w:p>
        </w:tc>
        <w:tc>
          <w:tcPr>
            <w:tcW w:w="12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(198,973)</w:t>
            </w:r>
          </w:p>
        </w:tc>
        <w:tc>
          <w:tcPr>
            <w:tcW w:w="114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w w:val="94"/>
              </w:rPr>
              <w:t>$(57,808,640)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660" w:type="dxa"/>
            <w:vAlign w:val="bottom"/>
          </w:tcPr>
          <w:p>
            <w:pPr>
              <w:spacing w:after="0"/>
              <w:rPr>
                <w:sz w:val="20"/>
                <w:szCs w:val="20"/>
                <w:color w:val="auto"/>
              </w:rPr>
            </w:pPr>
            <w:r>
              <w:rPr>
                <w:rFonts w:ascii="Arial" w:cs="Arial" w:eastAsia="Arial" w:hAnsi="Arial"/>
                <w:sz w:val="18"/>
                <w:szCs w:val="18"/>
                <w:color w:val="auto"/>
              </w:rPr>
              <w:t>Exercise of stock options</w:t>
            </w:r>
          </w:p>
        </w:tc>
        <w:tc>
          <w:tcPr>
            <w:tcW w:w="8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20" w:type="dxa"/>
            <w:vAlign w:val="bottom"/>
            <w:gridSpan w:val="2"/>
          </w:tcPr>
          <w:p>
            <w:pPr>
              <w:jc w:val="right"/>
              <w:spacing w:after="0"/>
              <w:rPr>
                <w:sz w:val="20"/>
                <w:szCs w:val="20"/>
                <w:color w:val="auto"/>
              </w:rPr>
            </w:pPr>
            <w:r>
              <w:rPr>
                <w:rFonts w:ascii="Arial" w:cs="Arial" w:eastAsia="Arial" w:hAnsi="Arial"/>
                <w:sz w:val="18"/>
                <w:szCs w:val="18"/>
                <w:color w:val="auto"/>
              </w:rPr>
              <w:t>508,262</w:t>
            </w:r>
          </w:p>
        </w:tc>
        <w:tc>
          <w:tcPr>
            <w:tcW w:w="760" w:type="dxa"/>
            <w:vAlign w:val="bottom"/>
            <w:gridSpan w:val="2"/>
          </w:tcPr>
          <w:p>
            <w:pPr>
              <w:jc w:val="right"/>
              <w:spacing w:after="0"/>
              <w:rPr>
                <w:sz w:val="20"/>
                <w:szCs w:val="20"/>
                <w:color w:val="auto"/>
              </w:rPr>
            </w:pPr>
            <w:r>
              <w:rPr>
                <w:rFonts w:ascii="Arial" w:cs="Arial" w:eastAsia="Arial" w:hAnsi="Arial"/>
                <w:sz w:val="18"/>
                <w:szCs w:val="18"/>
                <w:color w:val="auto"/>
              </w:rPr>
              <w:t>508</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w w:val="98"/>
              </w:rPr>
              <w:t>255,137</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gridSpan w:val="2"/>
          </w:tcPr>
          <w:p>
            <w:pPr>
              <w:jc w:val="right"/>
              <w:spacing w:after="0"/>
              <w:rPr>
                <w:sz w:val="20"/>
                <w:szCs w:val="20"/>
                <w:color w:val="auto"/>
              </w:rPr>
            </w:pPr>
            <w:r>
              <w:rPr>
                <w:rFonts w:ascii="Arial" w:cs="Arial" w:eastAsia="Arial" w:hAnsi="Arial"/>
                <w:sz w:val="18"/>
                <w:szCs w:val="18"/>
                <w:color w:val="auto"/>
              </w:rPr>
              <w:t>255,645</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266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Accretion of preferred stock</w:t>
            </w:r>
          </w:p>
        </w:tc>
        <w:tc>
          <w:tcPr>
            <w:tcW w:w="8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6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dividends</w:t>
            </w:r>
          </w:p>
        </w:tc>
        <w:tc>
          <w:tcPr>
            <w:tcW w:w="860" w:type="dxa"/>
            <w:vAlign w:val="bottom"/>
            <w:shd w:val="clear" w:color="auto" w:fill="CCEEFF"/>
          </w:tcPr>
          <w:p>
            <w:pPr>
              <w:spacing w:after="0"/>
              <w:rPr>
                <w:sz w:val="20"/>
                <w:szCs w:val="20"/>
                <w:color w:val="auto"/>
              </w:rPr>
            </w:pPr>
          </w:p>
        </w:tc>
        <w:tc>
          <w:tcPr>
            <w:tcW w:w="10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2,983,365</w:t>
            </w:r>
          </w:p>
        </w:tc>
        <w:tc>
          <w:tcPr>
            <w:tcW w:w="160" w:type="dxa"/>
            <w:vAlign w:val="bottom"/>
            <w:shd w:val="clear" w:color="auto" w:fill="CCEEFF"/>
          </w:tcPr>
          <w:p>
            <w:pPr>
              <w:spacing w:after="0"/>
              <w:rPr>
                <w:sz w:val="20"/>
                <w:szCs w:val="20"/>
                <w:color w:val="auto"/>
              </w:rPr>
            </w:pPr>
          </w:p>
        </w:tc>
        <w:tc>
          <w:tcPr>
            <w:tcW w:w="86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62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7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0"/>
              </w:rPr>
              <w:t>(699,794)</w:t>
            </w:r>
          </w:p>
        </w:tc>
        <w:tc>
          <w:tcPr>
            <w:tcW w:w="114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(2,283,571)</w:t>
            </w:r>
          </w:p>
        </w:tc>
        <w:tc>
          <w:tcPr>
            <w:tcW w:w="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1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14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(2,983,365)</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2660" w:type="dxa"/>
            <w:vAlign w:val="bottom"/>
          </w:tcPr>
          <w:p>
            <w:pPr>
              <w:spacing w:after="0" w:line="201" w:lineRule="exact"/>
              <w:rPr>
                <w:sz w:val="20"/>
                <w:szCs w:val="20"/>
                <w:color w:val="auto"/>
              </w:rPr>
            </w:pPr>
            <w:r>
              <w:rPr>
                <w:rFonts w:ascii="Arial" w:cs="Arial" w:eastAsia="Arial" w:hAnsi="Arial"/>
                <w:sz w:val="18"/>
                <w:szCs w:val="18"/>
                <w:color w:val="auto"/>
              </w:rPr>
              <w:t>Accretion of preferred stock</w:t>
            </w:r>
          </w:p>
        </w:tc>
        <w:tc>
          <w:tcPr>
            <w:tcW w:w="8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660" w:type="dxa"/>
            <w:vAlign w:val="bottom"/>
          </w:tcPr>
          <w:p>
            <w:pPr>
              <w:ind w:left="160"/>
              <w:spacing w:after="0"/>
              <w:rPr>
                <w:sz w:val="20"/>
                <w:szCs w:val="20"/>
                <w:color w:val="auto"/>
              </w:rPr>
            </w:pPr>
            <w:r>
              <w:rPr>
                <w:rFonts w:ascii="Arial" w:cs="Arial" w:eastAsia="Arial" w:hAnsi="Arial"/>
                <w:sz w:val="18"/>
                <w:szCs w:val="18"/>
                <w:color w:val="auto"/>
              </w:rPr>
              <w:t>offering costs</w:t>
            </w:r>
          </w:p>
        </w:tc>
        <w:tc>
          <w:tcPr>
            <w:tcW w:w="860" w:type="dxa"/>
            <w:vAlign w:val="bottom"/>
          </w:tcPr>
          <w:p>
            <w:pPr>
              <w:spacing w:after="0"/>
              <w:rPr>
                <w:sz w:val="20"/>
                <w:szCs w:val="20"/>
                <w:color w:val="auto"/>
              </w:rPr>
            </w:pPr>
          </w:p>
        </w:tc>
        <w:tc>
          <w:tcPr>
            <w:tcW w:w="1060" w:type="dxa"/>
            <w:vAlign w:val="bottom"/>
            <w:gridSpan w:val="2"/>
          </w:tcPr>
          <w:p>
            <w:pPr>
              <w:jc w:val="right"/>
              <w:spacing w:after="0"/>
              <w:rPr>
                <w:sz w:val="20"/>
                <w:szCs w:val="20"/>
                <w:color w:val="auto"/>
              </w:rPr>
            </w:pPr>
            <w:r>
              <w:rPr>
                <w:rFonts w:ascii="Arial" w:cs="Arial" w:eastAsia="Arial" w:hAnsi="Arial"/>
                <w:sz w:val="18"/>
                <w:szCs w:val="18"/>
                <w:color w:val="auto"/>
              </w:rPr>
              <w:t>132,183</w:t>
            </w:r>
          </w:p>
        </w:tc>
        <w:tc>
          <w:tcPr>
            <w:tcW w:w="16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40" w:type="dxa"/>
            <w:vAlign w:val="bottom"/>
            <w:gridSpan w:val="3"/>
          </w:tcPr>
          <w:p>
            <w:pPr>
              <w:jc w:val="right"/>
              <w:ind w:right="40"/>
              <w:spacing w:after="0"/>
              <w:rPr>
                <w:sz w:val="20"/>
                <w:szCs w:val="20"/>
                <w:color w:val="auto"/>
              </w:rPr>
            </w:pPr>
            <w:r>
              <w:rPr>
                <w:rFonts w:ascii="Arial" w:cs="Arial" w:eastAsia="Arial" w:hAnsi="Arial"/>
                <w:sz w:val="18"/>
                <w:szCs w:val="18"/>
                <w:color w:val="auto"/>
              </w:rPr>
              <w:t>(132,183)</w:t>
            </w: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40" w:type="dxa"/>
            <w:vAlign w:val="bottom"/>
            <w:gridSpan w:val="3"/>
          </w:tcPr>
          <w:p>
            <w:pPr>
              <w:jc w:val="right"/>
              <w:ind w:right="60"/>
              <w:spacing w:after="0"/>
              <w:rPr>
                <w:sz w:val="20"/>
                <w:szCs w:val="20"/>
                <w:color w:val="auto"/>
              </w:rPr>
            </w:pPr>
            <w:r>
              <w:rPr>
                <w:rFonts w:ascii="Arial" w:cs="Arial" w:eastAsia="Arial" w:hAnsi="Arial"/>
                <w:sz w:val="18"/>
                <w:szCs w:val="18"/>
                <w:color w:val="auto"/>
              </w:rPr>
              <w:t>(132,183)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660" w:type="dxa"/>
            <w:vAlign w:val="bottom"/>
            <w:shd w:val="clear" w:color="auto" w:fill="CCEEFF"/>
          </w:tcPr>
          <w:p>
            <w:pPr>
              <w:spacing w:after="0"/>
              <w:rPr>
                <w:sz w:val="20"/>
                <w:szCs w:val="20"/>
                <w:color w:val="auto"/>
              </w:rPr>
            </w:pPr>
            <w:r>
              <w:rPr>
                <w:rFonts w:ascii="Arial" w:cs="Arial" w:eastAsia="Arial" w:hAnsi="Arial"/>
                <w:sz w:val="18"/>
                <w:szCs w:val="18"/>
                <w:color w:val="auto"/>
                <w:w w:val="90"/>
              </w:rPr>
              <w:t>Stock-based compensation expense</w:t>
            </w:r>
          </w:p>
        </w:tc>
        <w:tc>
          <w:tcPr>
            <w:tcW w:w="8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444,657</w:t>
            </w: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444,657</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660" w:type="dxa"/>
            <w:vAlign w:val="bottom"/>
          </w:tcPr>
          <w:p>
            <w:pPr>
              <w:spacing w:after="0"/>
              <w:rPr>
                <w:sz w:val="20"/>
                <w:szCs w:val="20"/>
                <w:color w:val="auto"/>
              </w:rPr>
            </w:pPr>
            <w:r>
              <w:rPr>
                <w:rFonts w:ascii="Arial" w:cs="Arial" w:eastAsia="Arial" w:hAnsi="Arial"/>
                <w:sz w:val="18"/>
                <w:szCs w:val="18"/>
                <w:color w:val="auto"/>
              </w:rPr>
              <w:t>Effect of translation adjustments</w:t>
            </w:r>
          </w:p>
        </w:tc>
        <w:tc>
          <w:tcPr>
            <w:tcW w:w="8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4,731</w:t>
            </w:r>
          </w:p>
        </w:tc>
        <w:tc>
          <w:tcPr>
            <w:tcW w:w="120" w:type="dxa"/>
            <w:vAlign w:val="bottom"/>
          </w:tcPr>
          <w:p>
            <w:pPr>
              <w:spacing w:after="0"/>
              <w:rPr>
                <w:sz w:val="18"/>
                <w:szCs w:val="18"/>
                <w:color w:val="auto"/>
              </w:rPr>
            </w:pPr>
          </w:p>
        </w:tc>
        <w:tc>
          <w:tcPr>
            <w:tcW w:w="1020" w:type="dxa"/>
            <w:vAlign w:val="bottom"/>
            <w:gridSpan w:val="2"/>
          </w:tcPr>
          <w:p>
            <w:pPr>
              <w:jc w:val="right"/>
              <w:spacing w:after="0"/>
              <w:rPr>
                <w:sz w:val="20"/>
                <w:szCs w:val="20"/>
                <w:color w:val="auto"/>
              </w:rPr>
            </w:pPr>
            <w:r>
              <w:rPr>
                <w:rFonts w:ascii="Arial" w:cs="Arial" w:eastAsia="Arial" w:hAnsi="Arial"/>
                <w:sz w:val="18"/>
                <w:szCs w:val="18"/>
                <w:color w:val="auto"/>
              </w:rPr>
              <w:t>4,731</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660" w:type="dxa"/>
            <w:vAlign w:val="bottom"/>
            <w:shd w:val="clear" w:color="auto" w:fill="CCEEFF"/>
          </w:tcPr>
          <w:p>
            <w:pPr>
              <w:spacing w:after="0"/>
              <w:rPr>
                <w:sz w:val="20"/>
                <w:szCs w:val="20"/>
                <w:color w:val="auto"/>
              </w:rPr>
            </w:pPr>
            <w:r>
              <w:rPr>
                <w:rFonts w:ascii="Arial" w:cs="Arial" w:eastAsia="Arial" w:hAnsi="Arial"/>
                <w:sz w:val="18"/>
                <w:szCs w:val="18"/>
                <w:color w:val="auto"/>
              </w:rPr>
              <w:t>Net loss</w:t>
            </w:r>
          </w:p>
        </w:tc>
        <w:tc>
          <w:tcPr>
            <w:tcW w:w="8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(4,734,969)</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4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(4,734,969)</w:t>
            </w:r>
          </w:p>
        </w:tc>
        <w:tc>
          <w:tcPr>
            <w:tcW w:w="0" w:type="dxa"/>
            <w:vAlign w:val="bottom"/>
          </w:tcPr>
          <w:p>
            <w:pPr>
              <w:spacing w:after="0"/>
              <w:rPr>
                <w:sz w:val="1"/>
                <w:szCs w:val="1"/>
                <w:color w:val="auto"/>
              </w:rPr>
            </w:pPr>
          </w:p>
        </w:tc>
      </w:tr>
      <w:tr>
        <w:trPr>
          <w:trHeight w:val="223"/>
        </w:trPr>
        <w:tc>
          <w:tcPr>
            <w:tcW w:w="2680" w:type="dxa"/>
            <w:vAlign w:val="bottom"/>
            <w:gridSpan w:val="2"/>
          </w:tcPr>
          <w:p>
            <w:pPr>
              <w:spacing w:after="0"/>
              <w:rPr>
                <w:sz w:val="20"/>
                <w:szCs w:val="20"/>
                <w:color w:val="auto"/>
              </w:rPr>
            </w:pPr>
            <w:r>
              <w:rPr>
                <w:rFonts w:ascii="Arial" w:cs="Arial" w:eastAsia="Arial" w:hAnsi="Arial"/>
                <w:sz w:val="18"/>
                <w:szCs w:val="18"/>
                <w:b w:val="1"/>
                <w:bCs w:val="1"/>
                <w:color w:val="auto"/>
              </w:rPr>
              <w:t>Balances as of March 31, 2017</w:t>
            </w:r>
          </w:p>
        </w:tc>
        <w:tc>
          <w:tcPr>
            <w:tcW w:w="8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3"/>
              </w:rPr>
              <w:t>16,912,500</w:t>
            </w:r>
          </w:p>
        </w:tc>
        <w:tc>
          <w:tcPr>
            <w:tcW w:w="160" w:type="dxa"/>
            <w:vAlign w:val="bottom"/>
          </w:tcPr>
          <w:p>
            <w:pPr>
              <w:spacing w:after="0"/>
              <w:rPr>
                <w:sz w:val="19"/>
                <w:szCs w:val="19"/>
                <w:color w:val="auto"/>
              </w:rPr>
            </w:pPr>
          </w:p>
        </w:tc>
        <w:tc>
          <w:tcPr>
            <w:tcW w:w="9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7"/>
              </w:rPr>
              <w:t>46,903,534</w:t>
            </w:r>
          </w:p>
        </w:tc>
        <w:tc>
          <w:tcPr>
            <w:tcW w:w="160" w:type="dxa"/>
            <w:vAlign w:val="bottom"/>
          </w:tcPr>
          <w:p>
            <w:pPr>
              <w:spacing w:after="0"/>
              <w:rPr>
                <w:sz w:val="19"/>
                <w:szCs w:val="19"/>
                <w:color w:val="auto"/>
              </w:rPr>
            </w:pPr>
          </w:p>
        </w:tc>
        <w:tc>
          <w:tcPr>
            <w:tcW w:w="8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0"/>
              </w:rPr>
              <w:t>29,647,826</w:t>
            </w:r>
          </w:p>
        </w:tc>
        <w:tc>
          <w:tcPr>
            <w:tcW w:w="140" w:type="dxa"/>
            <w:vAlign w:val="bottom"/>
          </w:tcPr>
          <w:p>
            <w:pPr>
              <w:spacing w:after="0"/>
              <w:rPr>
                <w:sz w:val="19"/>
                <w:szCs w:val="19"/>
                <w:color w:val="auto"/>
              </w:rPr>
            </w:pPr>
          </w:p>
        </w:tc>
        <w:tc>
          <w:tcPr>
            <w:tcW w:w="6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29,647</w:t>
            </w:r>
          </w:p>
        </w:tc>
        <w:tc>
          <w:tcPr>
            <w:tcW w:w="14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660" w:type="dxa"/>
            <w:vAlign w:val="bottom"/>
            <w:tcBorders>
              <w:top w:val="single" w:sz="8" w:color="auto"/>
            </w:tcBorders>
          </w:tcPr>
          <w:p>
            <w:pPr>
              <w:jc w:val="right"/>
              <w:ind w:right="14"/>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9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4"/>
              </w:rPr>
              <w:t>(64,789,529)</w:t>
            </w:r>
          </w:p>
        </w:tc>
        <w:tc>
          <w:tcPr>
            <w:tcW w:w="1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1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(194,242)</w:t>
            </w:r>
          </w:p>
        </w:tc>
        <w:tc>
          <w:tcPr>
            <w:tcW w:w="1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9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2"/>
              </w:rPr>
              <w:t>(64,954,124)</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660" w:type="dxa"/>
            <w:vAlign w:val="bottom"/>
            <w:shd w:val="clear" w:color="auto" w:fill="CCEEFF"/>
          </w:tcPr>
          <w:p>
            <w:pPr>
              <w:spacing w:after="0"/>
              <w:rPr>
                <w:sz w:val="20"/>
                <w:szCs w:val="20"/>
                <w:color w:val="auto"/>
              </w:rPr>
            </w:pPr>
            <w:r>
              <w:rPr>
                <w:rFonts w:ascii="Arial" w:cs="Arial" w:eastAsia="Arial" w:hAnsi="Arial"/>
                <w:sz w:val="18"/>
                <w:szCs w:val="18"/>
                <w:color w:val="auto"/>
              </w:rPr>
              <w:t>Exercise of stock options</w:t>
            </w:r>
          </w:p>
        </w:tc>
        <w:tc>
          <w:tcPr>
            <w:tcW w:w="8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704,958</w:t>
            </w:r>
          </w:p>
        </w:tc>
        <w:tc>
          <w:tcPr>
            <w:tcW w:w="7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705</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412,089</w:t>
            </w: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412,794</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2660" w:type="dxa"/>
            <w:vAlign w:val="bottom"/>
          </w:tcPr>
          <w:p>
            <w:pPr>
              <w:spacing w:after="0" w:line="201" w:lineRule="exact"/>
              <w:rPr>
                <w:sz w:val="20"/>
                <w:szCs w:val="20"/>
                <w:color w:val="auto"/>
              </w:rPr>
            </w:pPr>
            <w:r>
              <w:rPr>
                <w:rFonts w:ascii="Arial" w:cs="Arial" w:eastAsia="Arial" w:hAnsi="Arial"/>
                <w:sz w:val="18"/>
                <w:szCs w:val="18"/>
                <w:color w:val="auto"/>
              </w:rPr>
              <w:t>Accretion of preferred stock</w:t>
            </w:r>
          </w:p>
        </w:tc>
        <w:tc>
          <w:tcPr>
            <w:tcW w:w="8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660" w:type="dxa"/>
            <w:vAlign w:val="bottom"/>
          </w:tcPr>
          <w:p>
            <w:pPr>
              <w:ind w:left="160"/>
              <w:spacing w:after="0"/>
              <w:rPr>
                <w:sz w:val="20"/>
                <w:szCs w:val="20"/>
                <w:color w:val="auto"/>
              </w:rPr>
            </w:pPr>
            <w:r>
              <w:rPr>
                <w:rFonts w:ascii="Arial" w:cs="Arial" w:eastAsia="Arial" w:hAnsi="Arial"/>
                <w:sz w:val="18"/>
                <w:szCs w:val="18"/>
                <w:color w:val="auto"/>
              </w:rPr>
              <w:t>dividends</w:t>
            </w:r>
          </w:p>
        </w:tc>
        <w:tc>
          <w:tcPr>
            <w:tcW w:w="860" w:type="dxa"/>
            <w:vAlign w:val="bottom"/>
          </w:tcPr>
          <w:p>
            <w:pPr>
              <w:spacing w:after="0"/>
              <w:rPr>
                <w:sz w:val="20"/>
                <w:szCs w:val="20"/>
                <w:color w:val="auto"/>
              </w:rPr>
            </w:pPr>
          </w:p>
        </w:tc>
        <w:tc>
          <w:tcPr>
            <w:tcW w:w="1060" w:type="dxa"/>
            <w:vAlign w:val="bottom"/>
            <w:gridSpan w:val="2"/>
          </w:tcPr>
          <w:p>
            <w:pPr>
              <w:jc w:val="right"/>
              <w:spacing w:after="0"/>
              <w:rPr>
                <w:sz w:val="20"/>
                <w:szCs w:val="20"/>
                <w:color w:val="auto"/>
              </w:rPr>
            </w:pPr>
            <w:r>
              <w:rPr>
                <w:rFonts w:ascii="Arial" w:cs="Arial" w:eastAsia="Arial" w:hAnsi="Arial"/>
                <w:sz w:val="18"/>
                <w:szCs w:val="18"/>
                <w:color w:val="auto"/>
              </w:rPr>
              <w:t>8,962,651</w:t>
            </w:r>
          </w:p>
        </w:tc>
        <w:tc>
          <w:tcPr>
            <w:tcW w:w="16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760" w:type="dxa"/>
            <w:vAlign w:val="bottom"/>
            <w:gridSpan w:val="2"/>
          </w:tcPr>
          <w:p>
            <w:pPr>
              <w:jc w:val="right"/>
              <w:ind w:right="40"/>
              <w:spacing w:after="0"/>
              <w:rPr>
                <w:sz w:val="20"/>
                <w:szCs w:val="20"/>
                <w:color w:val="auto"/>
              </w:rPr>
            </w:pPr>
            <w:r>
              <w:rPr>
                <w:rFonts w:ascii="Arial" w:cs="Arial" w:eastAsia="Arial" w:hAnsi="Arial"/>
                <w:sz w:val="18"/>
                <w:szCs w:val="18"/>
                <w:color w:val="auto"/>
                <w:w w:val="90"/>
              </w:rPr>
              <w:t>(823,708)</w:t>
            </w:r>
          </w:p>
        </w:tc>
        <w:tc>
          <w:tcPr>
            <w:tcW w:w="1140" w:type="dxa"/>
            <w:vAlign w:val="bottom"/>
            <w:gridSpan w:val="3"/>
          </w:tcPr>
          <w:p>
            <w:pPr>
              <w:jc w:val="right"/>
              <w:ind w:right="40"/>
              <w:spacing w:after="0"/>
              <w:rPr>
                <w:sz w:val="20"/>
                <w:szCs w:val="20"/>
                <w:color w:val="auto"/>
              </w:rPr>
            </w:pPr>
            <w:r>
              <w:rPr>
                <w:rFonts w:ascii="Arial" w:cs="Arial" w:eastAsia="Arial" w:hAnsi="Arial"/>
                <w:sz w:val="18"/>
                <w:szCs w:val="18"/>
                <w:color w:val="auto"/>
              </w:rPr>
              <w:t>(8,138,943)</w:t>
            </w: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40" w:type="dxa"/>
            <w:vAlign w:val="bottom"/>
            <w:gridSpan w:val="3"/>
          </w:tcPr>
          <w:p>
            <w:pPr>
              <w:jc w:val="right"/>
              <w:ind w:right="60"/>
              <w:spacing w:after="0"/>
              <w:rPr>
                <w:sz w:val="20"/>
                <w:szCs w:val="20"/>
                <w:color w:val="auto"/>
              </w:rPr>
            </w:pPr>
            <w:r>
              <w:rPr>
                <w:rFonts w:ascii="Arial" w:cs="Arial" w:eastAsia="Arial" w:hAnsi="Arial"/>
                <w:sz w:val="18"/>
                <w:szCs w:val="18"/>
                <w:color w:val="auto"/>
              </w:rPr>
              <w:t>(8,962,651)</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266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Accretion of preferred stock</w:t>
            </w:r>
          </w:p>
        </w:tc>
        <w:tc>
          <w:tcPr>
            <w:tcW w:w="8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6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offering costs</w:t>
            </w:r>
          </w:p>
        </w:tc>
        <w:tc>
          <w:tcPr>
            <w:tcW w:w="860" w:type="dxa"/>
            <w:vAlign w:val="bottom"/>
            <w:shd w:val="clear" w:color="auto" w:fill="CCEEFF"/>
          </w:tcPr>
          <w:p>
            <w:pPr>
              <w:spacing w:after="0"/>
              <w:rPr>
                <w:sz w:val="20"/>
                <w:szCs w:val="20"/>
                <w:color w:val="auto"/>
              </w:rPr>
            </w:pPr>
          </w:p>
        </w:tc>
        <w:tc>
          <w:tcPr>
            <w:tcW w:w="10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132,183</w:t>
            </w:r>
          </w:p>
        </w:tc>
        <w:tc>
          <w:tcPr>
            <w:tcW w:w="160" w:type="dxa"/>
            <w:vAlign w:val="bottom"/>
            <w:shd w:val="clear" w:color="auto" w:fill="CCEEFF"/>
          </w:tcPr>
          <w:p>
            <w:pPr>
              <w:spacing w:after="0"/>
              <w:rPr>
                <w:sz w:val="20"/>
                <w:szCs w:val="20"/>
                <w:color w:val="auto"/>
              </w:rPr>
            </w:pPr>
          </w:p>
        </w:tc>
        <w:tc>
          <w:tcPr>
            <w:tcW w:w="86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62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6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14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(132,183)</w:t>
            </w:r>
          </w:p>
        </w:tc>
        <w:tc>
          <w:tcPr>
            <w:tcW w:w="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1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14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(132,183)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660" w:type="dxa"/>
            <w:vAlign w:val="bottom"/>
          </w:tcPr>
          <w:p>
            <w:pPr>
              <w:spacing w:after="0"/>
              <w:rPr>
                <w:sz w:val="20"/>
                <w:szCs w:val="20"/>
                <w:color w:val="auto"/>
              </w:rPr>
            </w:pPr>
            <w:r>
              <w:rPr>
                <w:rFonts w:ascii="Arial" w:cs="Arial" w:eastAsia="Arial" w:hAnsi="Arial"/>
                <w:sz w:val="18"/>
                <w:szCs w:val="18"/>
                <w:color w:val="auto"/>
                <w:w w:val="90"/>
              </w:rPr>
              <w:t>Stock-based compensation expense</w:t>
            </w:r>
          </w:p>
        </w:tc>
        <w:tc>
          <w:tcPr>
            <w:tcW w:w="8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w w:val="98"/>
              </w:rPr>
              <w:t>411,619</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gridSpan w:val="2"/>
          </w:tcPr>
          <w:p>
            <w:pPr>
              <w:jc w:val="right"/>
              <w:spacing w:after="0"/>
              <w:rPr>
                <w:sz w:val="20"/>
                <w:szCs w:val="20"/>
                <w:color w:val="auto"/>
              </w:rPr>
            </w:pPr>
            <w:r>
              <w:rPr>
                <w:rFonts w:ascii="Arial" w:cs="Arial" w:eastAsia="Arial" w:hAnsi="Arial"/>
                <w:sz w:val="18"/>
                <w:szCs w:val="18"/>
                <w:color w:val="auto"/>
              </w:rPr>
              <w:t>411,619</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660" w:type="dxa"/>
            <w:vAlign w:val="bottom"/>
            <w:shd w:val="clear" w:color="auto" w:fill="CCEEFF"/>
          </w:tcPr>
          <w:p>
            <w:pPr>
              <w:spacing w:after="0"/>
              <w:rPr>
                <w:sz w:val="20"/>
                <w:szCs w:val="20"/>
                <w:color w:val="auto"/>
              </w:rPr>
            </w:pPr>
            <w:r>
              <w:rPr>
                <w:rFonts w:ascii="Arial" w:cs="Arial" w:eastAsia="Arial" w:hAnsi="Arial"/>
                <w:sz w:val="18"/>
                <w:szCs w:val="18"/>
                <w:color w:val="auto"/>
              </w:rPr>
              <w:t>Effect of translation adjustments</w:t>
            </w:r>
          </w:p>
        </w:tc>
        <w:tc>
          <w:tcPr>
            <w:tcW w:w="8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73,686</w:t>
            </w:r>
          </w:p>
        </w:tc>
        <w:tc>
          <w:tcPr>
            <w:tcW w:w="1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73,686</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660" w:type="dxa"/>
            <w:vAlign w:val="bottom"/>
          </w:tcPr>
          <w:p>
            <w:pPr>
              <w:spacing w:after="0"/>
              <w:rPr>
                <w:sz w:val="20"/>
                <w:szCs w:val="20"/>
                <w:color w:val="auto"/>
              </w:rPr>
            </w:pPr>
            <w:r>
              <w:rPr>
                <w:rFonts w:ascii="Arial" w:cs="Arial" w:eastAsia="Arial" w:hAnsi="Arial"/>
                <w:sz w:val="18"/>
                <w:szCs w:val="18"/>
                <w:color w:val="auto"/>
              </w:rPr>
              <w:t>Net loss</w:t>
            </w:r>
          </w:p>
        </w:tc>
        <w:tc>
          <w:tcPr>
            <w:tcW w:w="8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80" w:type="dxa"/>
            <w:vAlign w:val="bottom"/>
            <w:gridSpan w:val="2"/>
          </w:tcPr>
          <w:p>
            <w:pPr>
              <w:jc w:val="right"/>
              <w:ind w:right="40"/>
              <w:spacing w:after="0"/>
              <w:rPr>
                <w:sz w:val="20"/>
                <w:szCs w:val="20"/>
                <w:color w:val="auto"/>
              </w:rPr>
            </w:pPr>
            <w:r>
              <w:rPr>
                <w:rFonts w:ascii="Arial" w:cs="Arial" w:eastAsia="Arial" w:hAnsi="Arial"/>
                <w:sz w:val="18"/>
                <w:szCs w:val="18"/>
                <w:color w:val="auto"/>
              </w:rPr>
              <w:t>(119,847)</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gridSpan w:val="3"/>
          </w:tcPr>
          <w:p>
            <w:pPr>
              <w:jc w:val="right"/>
              <w:ind w:right="60"/>
              <w:spacing w:after="0"/>
              <w:rPr>
                <w:sz w:val="20"/>
                <w:szCs w:val="20"/>
                <w:color w:val="auto"/>
              </w:rPr>
            </w:pPr>
            <w:r>
              <w:rPr>
                <w:rFonts w:ascii="Arial" w:cs="Arial" w:eastAsia="Arial" w:hAnsi="Arial"/>
                <w:sz w:val="18"/>
                <w:szCs w:val="18"/>
                <w:color w:val="auto"/>
              </w:rPr>
              <w:t>(119,847)</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2660" w:type="dxa"/>
            <w:vAlign w:val="bottom"/>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60" w:type="dxa"/>
            <w:vAlign w:val="bottom"/>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12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60" w:type="dxa"/>
            <w:vAlign w:val="bottom"/>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26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Balances as of March 31, 2018</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3"/>
              </w:rPr>
              <w:t>16,912,500</w:t>
            </w:r>
          </w:p>
        </w:tc>
        <w:tc>
          <w:tcPr>
            <w:tcW w:w="106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55,998,368</w:t>
            </w:r>
          </w:p>
        </w:tc>
        <w:tc>
          <w:tcPr>
            <w:tcW w:w="10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30,352,784</w:t>
            </w:r>
          </w:p>
        </w:tc>
        <w:tc>
          <w:tcPr>
            <w:tcW w:w="7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$ 30,352</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14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u w:val="single" w:color="auto"/>
                <w:color w:val="auto"/>
                <w:w w:val="96"/>
              </w:rPr>
              <w:t>$</w:t>
            </w:r>
            <w:r>
              <w:rPr>
                <w:rFonts w:ascii="Arial" w:cs="Arial" w:eastAsia="Arial" w:hAnsi="Arial"/>
                <w:sz w:val="18"/>
                <w:szCs w:val="18"/>
                <w:color w:val="auto"/>
                <w:w w:val="96"/>
              </w:rPr>
              <w:t>(73,180,502)</w:t>
            </w:r>
          </w:p>
        </w:tc>
        <w:tc>
          <w:tcPr>
            <w:tcW w:w="16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w w:val="79"/>
              </w:rPr>
              <w:t>$</w:t>
            </w:r>
          </w:p>
        </w:tc>
        <w:tc>
          <w:tcPr>
            <w:tcW w:w="12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(120,556)</w:t>
            </w:r>
          </w:p>
        </w:tc>
        <w:tc>
          <w:tcPr>
            <w:tcW w:w="114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u w:val="single" w:color="auto"/>
                <w:color w:val="auto"/>
                <w:w w:val="94"/>
              </w:rPr>
              <w:t>$</w:t>
            </w:r>
            <w:r>
              <w:rPr>
                <w:rFonts w:ascii="Arial" w:cs="Arial" w:eastAsia="Arial" w:hAnsi="Arial"/>
                <w:sz w:val="18"/>
                <w:szCs w:val="18"/>
                <w:color w:val="auto"/>
                <w:w w:val="94"/>
              </w:rPr>
              <w:t>(73,270,706)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660" w:type="dxa"/>
            <w:vAlign w:val="bottom"/>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158"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040"/>
          </w:cols>
          <w:pgMar w:left="440" w:top="270" w:right="419" w:bottom="1440" w:gutter="0" w:footer="0" w:header="0"/>
        </w:sectPr>
      </w:pPr>
    </w:p>
    <w:bookmarkStart w:id="10" w:name="page11"/>
    <w:bookmarkEnd w:id="10"/>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SiriusDecisions, Inc. and Subsidiaries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Consolidated Statements of Cash Flows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Years Ended March 31, 2018 and 2017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14605</wp:posOffset>
            </wp:positionV>
            <wp:extent cx="6997700" cy="88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6997700" cy="8890"/>
                    </a:xfrm>
                    <a:prstGeom prst="rect">
                      <a:avLst/>
                    </a:prstGeom>
                    <a:noFill/>
                  </pic:spPr>
                </pic:pic>
              </a:graphicData>
            </a:graphic>
          </wp:anchor>
        </w:drawing>
      </w:r>
    </w:p>
    <w:p>
      <w:pPr>
        <w:spacing w:after="0" w:line="277"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748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20" w:type="dxa"/>
            <w:vAlign w:val="bottom"/>
          </w:tcPr>
          <w:p>
            <w:pPr>
              <w:jc w:val="right"/>
              <w:ind w:right="231"/>
              <w:spacing w:after="0"/>
              <w:rPr>
                <w:sz w:val="20"/>
                <w:szCs w:val="20"/>
                <w:color w:val="auto"/>
              </w:rPr>
            </w:pPr>
            <w:r>
              <w:rPr>
                <w:rFonts w:ascii="Arial" w:cs="Arial" w:eastAsia="Arial" w:hAnsi="Arial"/>
                <w:sz w:val="14"/>
                <w:szCs w:val="14"/>
                <w:b w:val="1"/>
                <w:bCs w:val="1"/>
                <w:color w:val="auto"/>
              </w:rPr>
              <w:t>2018</w:t>
            </w:r>
          </w:p>
        </w:tc>
        <w:tc>
          <w:tcPr>
            <w:tcW w:w="1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20" w:type="dxa"/>
            <w:vAlign w:val="bottom"/>
          </w:tcPr>
          <w:p>
            <w:pPr>
              <w:jc w:val="right"/>
              <w:ind w:right="231"/>
              <w:spacing w:after="0"/>
              <w:rPr>
                <w:sz w:val="20"/>
                <w:szCs w:val="20"/>
                <w:color w:val="auto"/>
              </w:rPr>
            </w:pPr>
            <w:r>
              <w:rPr>
                <w:rFonts w:ascii="Arial" w:cs="Arial" w:eastAsia="Arial" w:hAnsi="Arial"/>
                <w:sz w:val="14"/>
                <w:szCs w:val="14"/>
                <w:b w:val="1"/>
                <w:bCs w:val="1"/>
                <w:color w:val="auto"/>
              </w:rPr>
              <w:t>2017</w:t>
            </w:r>
          </w:p>
        </w:tc>
        <w:tc>
          <w:tcPr>
            <w:tcW w:w="120" w:type="dxa"/>
            <w:vAlign w:val="bottom"/>
          </w:tcPr>
          <w:p>
            <w:pPr>
              <w:spacing w:after="0"/>
              <w:rPr>
                <w:sz w:val="14"/>
                <w:szCs w:val="14"/>
                <w:color w:val="auto"/>
              </w:rPr>
            </w:pPr>
          </w:p>
        </w:tc>
      </w:tr>
      <w:tr>
        <w:trPr>
          <w:trHeight w:val="216"/>
        </w:trPr>
        <w:tc>
          <w:tcPr>
            <w:tcW w:w="20" w:type="dxa"/>
            <w:vAlign w:val="bottom"/>
          </w:tcPr>
          <w:p>
            <w:pPr>
              <w:spacing w:after="0"/>
              <w:rPr>
                <w:sz w:val="18"/>
                <w:szCs w:val="18"/>
                <w:color w:val="auto"/>
              </w:rPr>
            </w:pPr>
          </w:p>
        </w:tc>
        <w:tc>
          <w:tcPr>
            <w:tcW w:w="74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Cash flows from operating activities</w:t>
            </w:r>
          </w:p>
        </w:tc>
        <w:tc>
          <w:tcPr>
            <w:tcW w:w="1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7480" w:type="dxa"/>
            <w:vAlign w:val="bottom"/>
          </w:tcPr>
          <w:p>
            <w:pPr>
              <w:spacing w:after="0"/>
              <w:rPr>
                <w:sz w:val="20"/>
                <w:szCs w:val="20"/>
                <w:color w:val="auto"/>
              </w:rPr>
            </w:pPr>
            <w:r>
              <w:rPr>
                <w:rFonts w:ascii="Arial" w:cs="Arial" w:eastAsia="Arial" w:hAnsi="Arial"/>
                <w:sz w:val="18"/>
                <w:szCs w:val="18"/>
                <w:color w:val="auto"/>
              </w:rPr>
              <w:t>Net loss</w:t>
            </w:r>
          </w:p>
        </w:tc>
        <w:tc>
          <w:tcPr>
            <w:tcW w:w="13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(119,847)</w:t>
            </w: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40" w:type="dxa"/>
            <w:vAlign w:val="bottom"/>
            <w:gridSpan w:val="2"/>
          </w:tcPr>
          <w:p>
            <w:pPr>
              <w:jc w:val="right"/>
              <w:spacing w:after="0"/>
              <w:rPr>
                <w:sz w:val="20"/>
                <w:szCs w:val="20"/>
                <w:color w:val="auto"/>
              </w:rPr>
            </w:pPr>
            <w:r>
              <w:rPr>
                <w:rFonts w:ascii="Arial" w:cs="Arial" w:eastAsia="Arial" w:hAnsi="Arial"/>
                <w:sz w:val="18"/>
                <w:szCs w:val="18"/>
                <w:color w:val="auto"/>
                <w:w w:val="93"/>
              </w:rPr>
              <w:t>(4,734,969)</w:t>
            </w:r>
          </w:p>
        </w:tc>
      </w:tr>
      <w:tr>
        <w:trPr>
          <w:trHeight w:val="216"/>
        </w:trPr>
        <w:tc>
          <w:tcPr>
            <w:tcW w:w="20" w:type="dxa"/>
            <w:vAlign w:val="bottom"/>
          </w:tcPr>
          <w:p>
            <w:pPr>
              <w:spacing w:after="0"/>
              <w:rPr>
                <w:sz w:val="18"/>
                <w:szCs w:val="18"/>
                <w:color w:val="auto"/>
              </w:rPr>
            </w:pPr>
          </w:p>
        </w:tc>
        <w:tc>
          <w:tcPr>
            <w:tcW w:w="7480" w:type="dxa"/>
            <w:vAlign w:val="bottom"/>
            <w:shd w:val="clear" w:color="auto" w:fill="CCEEFF"/>
          </w:tcPr>
          <w:p>
            <w:pPr>
              <w:spacing w:after="0"/>
              <w:rPr>
                <w:sz w:val="20"/>
                <w:szCs w:val="20"/>
                <w:color w:val="auto"/>
              </w:rPr>
            </w:pPr>
            <w:r>
              <w:rPr>
                <w:rFonts w:ascii="Arial" w:cs="Arial" w:eastAsia="Arial" w:hAnsi="Arial"/>
                <w:sz w:val="18"/>
                <w:szCs w:val="18"/>
                <w:color w:val="auto"/>
              </w:rPr>
              <w:t>Adjustments to reconcile net loss to net cash provided by (used in) operating activities</w:t>
            </w:r>
          </w:p>
        </w:tc>
        <w:tc>
          <w:tcPr>
            <w:tcW w:w="1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7480" w:type="dxa"/>
            <w:vAlign w:val="bottom"/>
          </w:tcPr>
          <w:p>
            <w:pPr>
              <w:ind w:left="340"/>
              <w:spacing w:after="0"/>
              <w:rPr>
                <w:sz w:val="20"/>
                <w:szCs w:val="20"/>
                <w:color w:val="auto"/>
              </w:rPr>
            </w:pPr>
            <w:r>
              <w:rPr>
                <w:rFonts w:ascii="Arial" w:cs="Arial" w:eastAsia="Arial" w:hAnsi="Arial"/>
                <w:sz w:val="18"/>
                <w:szCs w:val="18"/>
                <w:color w:val="auto"/>
              </w:rPr>
              <w:t>Depreciation and amortization expense</w:t>
            </w:r>
          </w:p>
        </w:tc>
        <w:tc>
          <w:tcPr>
            <w:tcW w:w="1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w w:val="97"/>
              </w:rPr>
              <w:t>1,861,491</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w w:val="99"/>
              </w:rPr>
              <w:t>1,455,111</w:t>
            </w:r>
          </w:p>
        </w:tc>
        <w:tc>
          <w:tcPr>
            <w:tcW w:w="1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74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Stock-based compensation</w:t>
            </w:r>
          </w:p>
        </w:tc>
        <w:tc>
          <w:tcPr>
            <w:tcW w:w="1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411,619</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444,657</w:t>
            </w:r>
          </w:p>
        </w:tc>
        <w:tc>
          <w:tcPr>
            <w:tcW w:w="12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7480" w:type="dxa"/>
            <w:vAlign w:val="bottom"/>
          </w:tcPr>
          <w:p>
            <w:pPr>
              <w:ind w:left="340"/>
              <w:spacing w:after="0"/>
              <w:rPr>
                <w:sz w:val="20"/>
                <w:szCs w:val="20"/>
                <w:color w:val="auto"/>
              </w:rPr>
            </w:pPr>
            <w:r>
              <w:rPr>
                <w:rFonts w:ascii="Arial" w:cs="Arial" w:eastAsia="Arial" w:hAnsi="Arial"/>
                <w:sz w:val="18"/>
                <w:szCs w:val="18"/>
                <w:color w:val="auto"/>
              </w:rPr>
              <w:t>Allowance for doubtful accounts and bad debt expense</w:t>
            </w:r>
          </w:p>
        </w:tc>
        <w:tc>
          <w:tcPr>
            <w:tcW w:w="1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398,094</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350,784</w:t>
            </w:r>
          </w:p>
        </w:tc>
        <w:tc>
          <w:tcPr>
            <w:tcW w:w="1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74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Deferred rent</w:t>
            </w:r>
          </w:p>
        </w:tc>
        <w:tc>
          <w:tcPr>
            <w:tcW w:w="1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(53,540)</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(142,184)</w:t>
            </w:r>
          </w:p>
        </w:tc>
      </w:tr>
      <w:tr>
        <w:trPr>
          <w:trHeight w:val="216"/>
        </w:trPr>
        <w:tc>
          <w:tcPr>
            <w:tcW w:w="20" w:type="dxa"/>
            <w:vAlign w:val="bottom"/>
          </w:tcPr>
          <w:p>
            <w:pPr>
              <w:spacing w:after="0"/>
              <w:rPr>
                <w:sz w:val="18"/>
                <w:szCs w:val="18"/>
                <w:color w:val="auto"/>
              </w:rPr>
            </w:pPr>
          </w:p>
        </w:tc>
        <w:tc>
          <w:tcPr>
            <w:tcW w:w="7480" w:type="dxa"/>
            <w:vAlign w:val="bottom"/>
          </w:tcPr>
          <w:p>
            <w:pPr>
              <w:ind w:left="340"/>
              <w:spacing w:after="0"/>
              <w:rPr>
                <w:sz w:val="20"/>
                <w:szCs w:val="20"/>
                <w:color w:val="auto"/>
              </w:rPr>
            </w:pPr>
            <w:r>
              <w:rPr>
                <w:rFonts w:ascii="Arial" w:cs="Arial" w:eastAsia="Arial" w:hAnsi="Arial"/>
                <w:sz w:val="18"/>
                <w:szCs w:val="18"/>
                <w:color w:val="auto"/>
              </w:rPr>
              <w:t>Change in operating assets and liabilities</w:t>
            </w:r>
          </w:p>
        </w:tc>
        <w:tc>
          <w:tcPr>
            <w:tcW w:w="1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7480" w:type="dxa"/>
            <w:vAlign w:val="bottom"/>
            <w:shd w:val="clear" w:color="auto" w:fill="CCEEFF"/>
          </w:tcPr>
          <w:p>
            <w:pPr>
              <w:ind w:left="700"/>
              <w:spacing w:after="0"/>
              <w:rPr>
                <w:sz w:val="20"/>
                <w:szCs w:val="20"/>
                <w:color w:val="auto"/>
              </w:rPr>
            </w:pPr>
            <w:r>
              <w:rPr>
                <w:rFonts w:ascii="Arial" w:cs="Arial" w:eastAsia="Arial" w:hAnsi="Arial"/>
                <w:sz w:val="18"/>
                <w:szCs w:val="18"/>
                <w:color w:val="auto"/>
              </w:rPr>
              <w:t>Accounts receivable</w:t>
            </w:r>
          </w:p>
        </w:tc>
        <w:tc>
          <w:tcPr>
            <w:tcW w:w="1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1"/>
              </w:rPr>
              <w:t>(2,998,658)</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3"/>
              </w:rPr>
              <w:t>(1,750,198)</w:t>
            </w:r>
          </w:p>
        </w:tc>
      </w:tr>
      <w:tr>
        <w:trPr>
          <w:trHeight w:val="216"/>
        </w:trPr>
        <w:tc>
          <w:tcPr>
            <w:tcW w:w="20" w:type="dxa"/>
            <w:vAlign w:val="bottom"/>
          </w:tcPr>
          <w:p>
            <w:pPr>
              <w:spacing w:after="0"/>
              <w:rPr>
                <w:sz w:val="18"/>
                <w:szCs w:val="18"/>
                <w:color w:val="auto"/>
              </w:rPr>
            </w:pPr>
          </w:p>
        </w:tc>
        <w:tc>
          <w:tcPr>
            <w:tcW w:w="7480" w:type="dxa"/>
            <w:vAlign w:val="bottom"/>
          </w:tcPr>
          <w:p>
            <w:pPr>
              <w:ind w:left="700"/>
              <w:spacing w:after="0"/>
              <w:rPr>
                <w:sz w:val="20"/>
                <w:szCs w:val="20"/>
                <w:color w:val="auto"/>
              </w:rPr>
            </w:pPr>
            <w:r>
              <w:rPr>
                <w:rFonts w:ascii="Arial" w:cs="Arial" w:eastAsia="Arial" w:hAnsi="Arial"/>
                <w:sz w:val="18"/>
                <w:szCs w:val="18"/>
                <w:color w:val="auto"/>
              </w:rPr>
              <w:t>Prepaid expenses and other current assets</w:t>
            </w:r>
          </w:p>
        </w:tc>
        <w:tc>
          <w:tcPr>
            <w:tcW w:w="1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(248,756)</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40" w:type="dxa"/>
            <w:vAlign w:val="bottom"/>
            <w:gridSpan w:val="2"/>
          </w:tcPr>
          <w:p>
            <w:pPr>
              <w:jc w:val="right"/>
              <w:spacing w:after="0"/>
              <w:rPr>
                <w:sz w:val="20"/>
                <w:szCs w:val="20"/>
                <w:color w:val="auto"/>
              </w:rPr>
            </w:pPr>
            <w:r>
              <w:rPr>
                <w:rFonts w:ascii="Arial" w:cs="Arial" w:eastAsia="Arial" w:hAnsi="Arial"/>
                <w:sz w:val="18"/>
                <w:szCs w:val="18"/>
                <w:color w:val="auto"/>
              </w:rPr>
              <w:t>(186,403)</w:t>
            </w:r>
          </w:p>
        </w:tc>
      </w:tr>
      <w:tr>
        <w:trPr>
          <w:trHeight w:val="216"/>
        </w:trPr>
        <w:tc>
          <w:tcPr>
            <w:tcW w:w="20" w:type="dxa"/>
            <w:vAlign w:val="bottom"/>
          </w:tcPr>
          <w:p>
            <w:pPr>
              <w:spacing w:after="0"/>
              <w:rPr>
                <w:sz w:val="18"/>
                <w:szCs w:val="18"/>
                <w:color w:val="auto"/>
              </w:rPr>
            </w:pPr>
          </w:p>
        </w:tc>
        <w:tc>
          <w:tcPr>
            <w:tcW w:w="7480" w:type="dxa"/>
            <w:vAlign w:val="bottom"/>
            <w:shd w:val="clear" w:color="auto" w:fill="CCEEFF"/>
          </w:tcPr>
          <w:p>
            <w:pPr>
              <w:ind w:left="700"/>
              <w:spacing w:after="0"/>
              <w:rPr>
                <w:sz w:val="20"/>
                <w:szCs w:val="20"/>
                <w:color w:val="auto"/>
              </w:rPr>
            </w:pPr>
            <w:r>
              <w:rPr>
                <w:rFonts w:ascii="Arial" w:cs="Arial" w:eastAsia="Arial" w:hAnsi="Arial"/>
                <w:sz w:val="18"/>
                <w:szCs w:val="18"/>
                <w:color w:val="auto"/>
              </w:rPr>
              <w:t>Other assets</w:t>
            </w:r>
          </w:p>
        </w:tc>
        <w:tc>
          <w:tcPr>
            <w:tcW w:w="1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(284,276)</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(111,959)</w:t>
            </w:r>
          </w:p>
        </w:tc>
      </w:tr>
      <w:tr>
        <w:trPr>
          <w:trHeight w:val="216"/>
        </w:trPr>
        <w:tc>
          <w:tcPr>
            <w:tcW w:w="20" w:type="dxa"/>
            <w:vAlign w:val="bottom"/>
          </w:tcPr>
          <w:p>
            <w:pPr>
              <w:spacing w:after="0"/>
              <w:rPr>
                <w:sz w:val="18"/>
                <w:szCs w:val="18"/>
                <w:color w:val="auto"/>
              </w:rPr>
            </w:pPr>
          </w:p>
        </w:tc>
        <w:tc>
          <w:tcPr>
            <w:tcW w:w="7480" w:type="dxa"/>
            <w:vAlign w:val="bottom"/>
          </w:tcPr>
          <w:p>
            <w:pPr>
              <w:ind w:left="700"/>
              <w:spacing w:after="0"/>
              <w:rPr>
                <w:sz w:val="20"/>
                <w:szCs w:val="20"/>
                <w:color w:val="auto"/>
              </w:rPr>
            </w:pPr>
            <w:r>
              <w:rPr>
                <w:rFonts w:ascii="Arial" w:cs="Arial" w:eastAsia="Arial" w:hAnsi="Arial"/>
                <w:sz w:val="18"/>
                <w:szCs w:val="18"/>
                <w:color w:val="auto"/>
              </w:rPr>
              <w:t>Accounts payable and accrued expenses</w:t>
            </w:r>
          </w:p>
        </w:tc>
        <w:tc>
          <w:tcPr>
            <w:tcW w:w="1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885,285</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31,130</w:t>
            </w:r>
          </w:p>
        </w:tc>
        <w:tc>
          <w:tcPr>
            <w:tcW w:w="1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7480" w:type="dxa"/>
            <w:vAlign w:val="bottom"/>
            <w:shd w:val="clear" w:color="auto" w:fill="CCEEFF"/>
          </w:tcPr>
          <w:p>
            <w:pPr>
              <w:ind w:left="700"/>
              <w:spacing w:after="0"/>
              <w:rPr>
                <w:sz w:val="20"/>
                <w:szCs w:val="20"/>
                <w:color w:val="auto"/>
              </w:rPr>
            </w:pPr>
            <w:r>
              <w:rPr>
                <w:rFonts w:ascii="Arial" w:cs="Arial" w:eastAsia="Arial" w:hAnsi="Arial"/>
                <w:sz w:val="18"/>
                <w:szCs w:val="18"/>
                <w:color w:val="auto"/>
              </w:rPr>
              <w:t>Deferred revenue</w:t>
            </w:r>
          </w:p>
        </w:tc>
        <w:tc>
          <w:tcPr>
            <w:tcW w:w="128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7"/>
              </w:rPr>
              <w:t>4,502,905</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3,186,158</w:t>
            </w:r>
          </w:p>
        </w:tc>
        <w:tc>
          <w:tcPr>
            <w:tcW w:w="120" w:type="dxa"/>
            <w:vAlign w:val="bottom"/>
            <w:shd w:val="clear" w:color="auto" w:fill="CCEEFF"/>
          </w:tcPr>
          <w:p>
            <w:pPr>
              <w:spacing w:after="0"/>
              <w:rPr>
                <w:sz w:val="18"/>
                <w:szCs w:val="18"/>
                <w:color w:val="auto"/>
              </w:rPr>
            </w:pPr>
          </w:p>
        </w:tc>
      </w:tr>
      <w:tr>
        <w:trPr>
          <w:trHeight w:val="230"/>
        </w:trPr>
        <w:tc>
          <w:tcPr>
            <w:tcW w:w="20" w:type="dxa"/>
            <w:vAlign w:val="bottom"/>
          </w:tcPr>
          <w:p>
            <w:pPr>
              <w:spacing w:after="0"/>
              <w:rPr>
                <w:sz w:val="20"/>
                <w:szCs w:val="20"/>
                <w:color w:val="auto"/>
              </w:rPr>
            </w:pPr>
          </w:p>
        </w:tc>
        <w:tc>
          <w:tcPr>
            <w:tcW w:w="7480" w:type="dxa"/>
            <w:vAlign w:val="bottom"/>
          </w:tcPr>
          <w:p>
            <w:pPr>
              <w:ind w:left="1060"/>
              <w:spacing w:after="0"/>
              <w:rPr>
                <w:sz w:val="20"/>
                <w:szCs w:val="20"/>
                <w:color w:val="auto"/>
              </w:rPr>
            </w:pPr>
            <w:r>
              <w:rPr>
                <w:rFonts w:ascii="Arial" w:cs="Arial" w:eastAsia="Arial" w:hAnsi="Arial"/>
                <w:sz w:val="18"/>
                <w:szCs w:val="18"/>
                <w:color w:val="auto"/>
              </w:rPr>
              <w:t>Net cash provided by (used in) operating activities</w:t>
            </w:r>
          </w:p>
        </w:tc>
        <w:tc>
          <w:tcPr>
            <w:tcW w:w="128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7"/>
              </w:rPr>
              <w:t>4,354,317</w:t>
            </w:r>
          </w:p>
        </w:tc>
        <w:tc>
          <w:tcPr>
            <w:tcW w:w="1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2"/>
              </w:rPr>
              <w:t>(1,457,873</w:t>
            </w:r>
          </w:p>
        </w:tc>
        <w:tc>
          <w:tcPr>
            <w:tcW w:w="120" w:type="dxa"/>
            <w:vAlign w:val="bottom"/>
          </w:tcPr>
          <w:p>
            <w:pPr>
              <w:jc w:val="right"/>
              <w:spacing w:after="0"/>
              <w:rPr>
                <w:sz w:val="20"/>
                <w:szCs w:val="20"/>
                <w:color w:val="auto"/>
              </w:rPr>
            </w:pPr>
            <w:r>
              <w:rPr>
                <w:rFonts w:ascii="Arial" w:cs="Arial" w:eastAsia="Arial" w:hAnsi="Arial"/>
                <w:sz w:val="16"/>
                <w:szCs w:val="16"/>
                <w:color w:val="auto"/>
                <w:w w:val="74"/>
              </w:rPr>
              <w:t>)</w:t>
            </w:r>
          </w:p>
        </w:tc>
      </w:tr>
      <w:tr>
        <w:trPr>
          <w:trHeight w:val="216"/>
        </w:trPr>
        <w:tc>
          <w:tcPr>
            <w:tcW w:w="20" w:type="dxa"/>
            <w:vAlign w:val="bottom"/>
          </w:tcPr>
          <w:p>
            <w:pPr>
              <w:spacing w:after="0"/>
              <w:rPr>
                <w:sz w:val="18"/>
                <w:szCs w:val="18"/>
                <w:color w:val="auto"/>
              </w:rPr>
            </w:pPr>
          </w:p>
        </w:tc>
        <w:tc>
          <w:tcPr>
            <w:tcW w:w="74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Cash flows from investing activities</w:t>
            </w:r>
          </w:p>
        </w:tc>
        <w:tc>
          <w:tcPr>
            <w:tcW w:w="1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7480" w:type="dxa"/>
            <w:vAlign w:val="bottom"/>
          </w:tcPr>
          <w:p>
            <w:pPr>
              <w:spacing w:after="0"/>
              <w:rPr>
                <w:sz w:val="20"/>
                <w:szCs w:val="20"/>
                <w:color w:val="auto"/>
              </w:rPr>
            </w:pPr>
            <w:r>
              <w:rPr>
                <w:rFonts w:ascii="Arial" w:cs="Arial" w:eastAsia="Arial" w:hAnsi="Arial"/>
                <w:sz w:val="18"/>
                <w:szCs w:val="18"/>
                <w:color w:val="auto"/>
              </w:rPr>
              <w:t>Additions of property and equipment and capitalized software</w:t>
            </w:r>
          </w:p>
        </w:tc>
        <w:tc>
          <w:tcPr>
            <w:tcW w:w="1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w w:val="91"/>
              </w:rPr>
              <w:t>(1,102,083)</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40" w:type="dxa"/>
            <w:vAlign w:val="bottom"/>
            <w:gridSpan w:val="2"/>
          </w:tcPr>
          <w:p>
            <w:pPr>
              <w:jc w:val="right"/>
              <w:spacing w:after="0"/>
              <w:rPr>
                <w:sz w:val="20"/>
                <w:szCs w:val="20"/>
                <w:color w:val="auto"/>
              </w:rPr>
            </w:pPr>
            <w:r>
              <w:rPr>
                <w:rFonts w:ascii="Arial" w:cs="Arial" w:eastAsia="Arial" w:hAnsi="Arial"/>
                <w:sz w:val="18"/>
                <w:szCs w:val="18"/>
                <w:color w:val="auto"/>
                <w:w w:val="93"/>
              </w:rPr>
              <w:t>(1,992,573)</w:t>
            </w:r>
          </w:p>
        </w:tc>
      </w:tr>
      <w:tr>
        <w:trPr>
          <w:trHeight w:val="216"/>
        </w:trPr>
        <w:tc>
          <w:tcPr>
            <w:tcW w:w="20" w:type="dxa"/>
            <w:vAlign w:val="bottom"/>
          </w:tcPr>
          <w:p>
            <w:pPr>
              <w:spacing w:after="0"/>
              <w:rPr>
                <w:sz w:val="18"/>
                <w:szCs w:val="18"/>
                <w:color w:val="auto"/>
              </w:rPr>
            </w:pPr>
          </w:p>
        </w:tc>
        <w:tc>
          <w:tcPr>
            <w:tcW w:w="7480" w:type="dxa"/>
            <w:vAlign w:val="bottom"/>
            <w:shd w:val="clear" w:color="auto" w:fill="CCEEFF"/>
          </w:tcPr>
          <w:p>
            <w:pPr>
              <w:spacing w:after="0"/>
              <w:rPr>
                <w:sz w:val="20"/>
                <w:szCs w:val="20"/>
                <w:color w:val="auto"/>
              </w:rPr>
            </w:pPr>
            <w:r>
              <w:rPr>
                <w:rFonts w:ascii="Arial" w:cs="Arial" w:eastAsia="Arial" w:hAnsi="Arial"/>
                <w:sz w:val="18"/>
                <w:szCs w:val="18"/>
                <w:color w:val="auto"/>
              </w:rPr>
              <w:t>Investment in certificates of deposit—restricted</w:t>
            </w:r>
          </w:p>
        </w:tc>
        <w:tc>
          <w:tcPr>
            <w:tcW w:w="128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79,930</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449,308</w:t>
            </w:r>
          </w:p>
        </w:tc>
        <w:tc>
          <w:tcPr>
            <w:tcW w:w="120" w:type="dxa"/>
            <w:vAlign w:val="bottom"/>
            <w:shd w:val="clear" w:color="auto" w:fill="CCEEFF"/>
          </w:tcPr>
          <w:p>
            <w:pPr>
              <w:spacing w:after="0"/>
              <w:rPr>
                <w:sz w:val="18"/>
                <w:szCs w:val="18"/>
                <w:color w:val="auto"/>
              </w:rPr>
            </w:pPr>
          </w:p>
        </w:tc>
      </w:tr>
      <w:tr>
        <w:trPr>
          <w:trHeight w:val="230"/>
        </w:trPr>
        <w:tc>
          <w:tcPr>
            <w:tcW w:w="20" w:type="dxa"/>
            <w:vAlign w:val="bottom"/>
          </w:tcPr>
          <w:p>
            <w:pPr>
              <w:spacing w:after="0"/>
              <w:rPr>
                <w:sz w:val="20"/>
                <w:szCs w:val="20"/>
                <w:color w:val="auto"/>
              </w:rPr>
            </w:pPr>
          </w:p>
        </w:tc>
        <w:tc>
          <w:tcPr>
            <w:tcW w:w="7480" w:type="dxa"/>
            <w:vAlign w:val="bottom"/>
          </w:tcPr>
          <w:p>
            <w:pPr>
              <w:ind w:left="1060"/>
              <w:spacing w:after="0"/>
              <w:rPr>
                <w:sz w:val="20"/>
                <w:szCs w:val="20"/>
                <w:color w:val="auto"/>
              </w:rPr>
            </w:pPr>
            <w:r>
              <w:rPr>
                <w:rFonts w:ascii="Arial" w:cs="Arial" w:eastAsia="Arial" w:hAnsi="Arial"/>
                <w:sz w:val="18"/>
                <w:szCs w:val="18"/>
                <w:color w:val="auto"/>
              </w:rPr>
              <w:t>Net cash used in investing activities</w:t>
            </w:r>
          </w:p>
        </w:tc>
        <w:tc>
          <w:tcPr>
            <w:tcW w:w="128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0"/>
              </w:rPr>
              <w:t>(1,022,153</w:t>
            </w:r>
          </w:p>
        </w:tc>
        <w:tc>
          <w:tcPr>
            <w:tcW w:w="180" w:type="dxa"/>
            <w:vAlign w:val="bottom"/>
          </w:tcPr>
          <w:p>
            <w:pPr>
              <w:jc w:val="right"/>
              <w:ind w:right="100"/>
              <w:spacing w:after="0"/>
              <w:rPr>
                <w:sz w:val="20"/>
                <w:szCs w:val="20"/>
                <w:color w:val="auto"/>
              </w:rPr>
            </w:pPr>
            <w:r>
              <w:rPr>
                <w:rFonts w:ascii="Arial" w:cs="Arial" w:eastAsia="Arial" w:hAnsi="Arial"/>
                <w:sz w:val="8"/>
                <w:szCs w:val="8"/>
                <w:color w:val="auto"/>
                <w:w w:val="73"/>
              </w:rPr>
              <w:t>)</w:t>
            </w:r>
          </w:p>
        </w:tc>
        <w:tc>
          <w:tcPr>
            <w:tcW w:w="140" w:type="dxa"/>
            <w:vAlign w:val="bottom"/>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2"/>
              </w:rPr>
              <w:t>(1,543,265</w:t>
            </w:r>
          </w:p>
        </w:tc>
        <w:tc>
          <w:tcPr>
            <w:tcW w:w="120" w:type="dxa"/>
            <w:vAlign w:val="bottom"/>
          </w:tcPr>
          <w:p>
            <w:pPr>
              <w:jc w:val="right"/>
              <w:spacing w:after="0"/>
              <w:rPr>
                <w:sz w:val="20"/>
                <w:szCs w:val="20"/>
                <w:color w:val="auto"/>
              </w:rPr>
            </w:pPr>
            <w:r>
              <w:rPr>
                <w:rFonts w:ascii="Arial" w:cs="Arial" w:eastAsia="Arial" w:hAnsi="Arial"/>
                <w:sz w:val="16"/>
                <w:szCs w:val="16"/>
                <w:color w:val="auto"/>
                <w:w w:val="74"/>
              </w:rPr>
              <w:t>)</w:t>
            </w:r>
          </w:p>
        </w:tc>
      </w:tr>
      <w:tr>
        <w:trPr>
          <w:trHeight w:val="216"/>
        </w:trPr>
        <w:tc>
          <w:tcPr>
            <w:tcW w:w="20" w:type="dxa"/>
            <w:vAlign w:val="bottom"/>
          </w:tcPr>
          <w:p>
            <w:pPr>
              <w:spacing w:after="0"/>
              <w:rPr>
                <w:sz w:val="18"/>
                <w:szCs w:val="18"/>
                <w:color w:val="auto"/>
              </w:rPr>
            </w:pPr>
          </w:p>
        </w:tc>
        <w:tc>
          <w:tcPr>
            <w:tcW w:w="74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Cash flows from financing activities</w:t>
            </w:r>
          </w:p>
        </w:tc>
        <w:tc>
          <w:tcPr>
            <w:tcW w:w="1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7480" w:type="dxa"/>
            <w:vAlign w:val="bottom"/>
          </w:tcPr>
          <w:p>
            <w:pPr>
              <w:spacing w:after="0"/>
              <w:rPr>
                <w:sz w:val="20"/>
                <w:szCs w:val="20"/>
                <w:color w:val="auto"/>
              </w:rPr>
            </w:pPr>
            <w:r>
              <w:rPr>
                <w:rFonts w:ascii="Arial" w:cs="Arial" w:eastAsia="Arial" w:hAnsi="Arial"/>
                <w:sz w:val="18"/>
                <w:szCs w:val="18"/>
                <w:color w:val="auto"/>
              </w:rPr>
              <w:t>Proceeds from exercise of stock options</w:t>
            </w:r>
          </w:p>
        </w:tc>
        <w:tc>
          <w:tcPr>
            <w:tcW w:w="128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412,794</w:t>
            </w: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255,645</w:t>
            </w:r>
          </w:p>
        </w:tc>
        <w:tc>
          <w:tcPr>
            <w:tcW w:w="12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7480" w:type="dxa"/>
            <w:vAlign w:val="bottom"/>
            <w:shd w:val="clear" w:color="auto" w:fill="CCEEFF"/>
          </w:tcPr>
          <w:p>
            <w:pPr>
              <w:ind w:left="1060"/>
              <w:spacing w:after="0"/>
              <w:rPr>
                <w:sz w:val="20"/>
                <w:szCs w:val="20"/>
                <w:color w:val="auto"/>
              </w:rPr>
            </w:pPr>
            <w:r>
              <w:rPr>
                <w:rFonts w:ascii="Arial" w:cs="Arial" w:eastAsia="Arial" w:hAnsi="Arial"/>
                <w:sz w:val="18"/>
                <w:szCs w:val="18"/>
                <w:color w:val="auto"/>
              </w:rPr>
              <w:t>Net cash provided by financing activities</w:t>
            </w:r>
          </w:p>
        </w:tc>
        <w:tc>
          <w:tcPr>
            <w:tcW w:w="1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412,794</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255,645</w:t>
            </w:r>
          </w:p>
        </w:tc>
        <w:tc>
          <w:tcPr>
            <w:tcW w:w="12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7480" w:type="dxa"/>
            <w:vAlign w:val="bottom"/>
          </w:tcPr>
          <w:p>
            <w:pPr>
              <w:spacing w:after="0"/>
              <w:rPr>
                <w:sz w:val="20"/>
                <w:szCs w:val="20"/>
                <w:color w:val="auto"/>
              </w:rPr>
            </w:pPr>
            <w:r>
              <w:rPr>
                <w:rFonts w:ascii="Arial" w:cs="Arial" w:eastAsia="Arial" w:hAnsi="Arial"/>
                <w:sz w:val="18"/>
                <w:szCs w:val="18"/>
                <w:color w:val="auto"/>
              </w:rPr>
              <w:t>Effects of foreign currency translation on cash</w:t>
            </w:r>
          </w:p>
        </w:tc>
        <w:tc>
          <w:tcPr>
            <w:tcW w:w="1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73,983</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40" w:type="dxa"/>
            <w:vAlign w:val="bottom"/>
            <w:gridSpan w:val="2"/>
          </w:tcPr>
          <w:p>
            <w:pPr>
              <w:jc w:val="right"/>
              <w:spacing w:after="0"/>
              <w:rPr>
                <w:sz w:val="20"/>
                <w:szCs w:val="20"/>
                <w:color w:val="auto"/>
              </w:rPr>
            </w:pPr>
            <w:r>
              <w:rPr>
                <w:rFonts w:ascii="Arial" w:cs="Arial" w:eastAsia="Arial" w:hAnsi="Arial"/>
                <w:sz w:val="18"/>
                <w:szCs w:val="18"/>
                <w:color w:val="auto"/>
              </w:rPr>
              <w:t>(96,404)</w:t>
            </w:r>
          </w:p>
        </w:tc>
      </w:tr>
      <w:tr>
        <w:trPr>
          <w:trHeight w:val="27"/>
        </w:trPr>
        <w:tc>
          <w:tcPr>
            <w:tcW w:w="20" w:type="dxa"/>
            <w:vAlign w:val="bottom"/>
          </w:tcPr>
          <w:p>
            <w:pPr>
              <w:spacing w:after="0"/>
              <w:rPr>
                <w:sz w:val="2"/>
                <w:szCs w:val="2"/>
                <w:color w:val="auto"/>
              </w:rPr>
            </w:pPr>
          </w:p>
        </w:tc>
        <w:tc>
          <w:tcPr>
            <w:tcW w:w="748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r>
      <w:tr>
        <w:trPr>
          <w:trHeight w:val="216"/>
        </w:trPr>
        <w:tc>
          <w:tcPr>
            <w:tcW w:w="20" w:type="dxa"/>
            <w:vAlign w:val="bottom"/>
          </w:tcPr>
          <w:p>
            <w:pPr>
              <w:spacing w:after="0"/>
              <w:rPr>
                <w:sz w:val="18"/>
                <w:szCs w:val="18"/>
                <w:color w:val="auto"/>
              </w:rPr>
            </w:pPr>
          </w:p>
        </w:tc>
        <w:tc>
          <w:tcPr>
            <w:tcW w:w="7480" w:type="dxa"/>
            <w:vAlign w:val="bottom"/>
            <w:shd w:val="clear" w:color="auto" w:fill="CCEEFF"/>
          </w:tcPr>
          <w:p>
            <w:pPr>
              <w:ind w:left="1060"/>
              <w:spacing w:after="0"/>
              <w:rPr>
                <w:sz w:val="20"/>
                <w:szCs w:val="20"/>
                <w:color w:val="auto"/>
              </w:rPr>
            </w:pPr>
            <w:r>
              <w:rPr>
                <w:rFonts w:ascii="Arial" w:cs="Arial" w:eastAsia="Arial" w:hAnsi="Arial"/>
                <w:sz w:val="18"/>
                <w:szCs w:val="18"/>
                <w:color w:val="auto"/>
              </w:rPr>
              <w:t>Net change in cash and cash equivalents</w:t>
            </w:r>
          </w:p>
        </w:tc>
        <w:tc>
          <w:tcPr>
            <w:tcW w:w="1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3,818,941</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3"/>
              </w:rPr>
              <w:t>(2,841,897)</w:t>
            </w:r>
          </w:p>
        </w:tc>
      </w:tr>
      <w:tr>
        <w:trPr>
          <w:trHeight w:val="216"/>
        </w:trPr>
        <w:tc>
          <w:tcPr>
            <w:tcW w:w="20" w:type="dxa"/>
            <w:vAlign w:val="bottom"/>
          </w:tcPr>
          <w:p>
            <w:pPr>
              <w:spacing w:after="0"/>
              <w:rPr>
                <w:sz w:val="18"/>
                <w:szCs w:val="18"/>
                <w:color w:val="auto"/>
              </w:rPr>
            </w:pPr>
          </w:p>
        </w:tc>
        <w:tc>
          <w:tcPr>
            <w:tcW w:w="7480" w:type="dxa"/>
            <w:vAlign w:val="bottom"/>
          </w:tcPr>
          <w:p>
            <w:pPr>
              <w:spacing w:after="0"/>
              <w:rPr>
                <w:sz w:val="20"/>
                <w:szCs w:val="20"/>
                <w:color w:val="auto"/>
              </w:rPr>
            </w:pPr>
            <w:r>
              <w:rPr>
                <w:rFonts w:ascii="Arial" w:cs="Arial" w:eastAsia="Arial" w:hAnsi="Arial"/>
                <w:sz w:val="18"/>
                <w:szCs w:val="18"/>
                <w:b w:val="1"/>
                <w:bCs w:val="1"/>
                <w:color w:val="auto"/>
              </w:rPr>
              <w:t>Cash and cash equivalents</w:t>
            </w:r>
          </w:p>
        </w:tc>
        <w:tc>
          <w:tcPr>
            <w:tcW w:w="1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7480" w:type="dxa"/>
            <w:vAlign w:val="bottom"/>
            <w:shd w:val="clear" w:color="auto" w:fill="CCEEFF"/>
          </w:tcPr>
          <w:p>
            <w:pPr>
              <w:spacing w:after="0"/>
              <w:rPr>
                <w:sz w:val="20"/>
                <w:szCs w:val="20"/>
                <w:color w:val="auto"/>
              </w:rPr>
            </w:pPr>
            <w:r>
              <w:rPr>
                <w:rFonts w:ascii="Arial" w:cs="Arial" w:eastAsia="Arial" w:hAnsi="Arial"/>
                <w:sz w:val="18"/>
                <w:szCs w:val="18"/>
                <w:color w:val="auto"/>
              </w:rPr>
              <w:t>Beginning of period</w:t>
            </w:r>
          </w:p>
        </w:tc>
        <w:tc>
          <w:tcPr>
            <w:tcW w:w="128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7"/>
              </w:rPr>
              <w:t>9,265,240</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8"/>
              </w:rPr>
              <w:t>12,107,137</w:t>
            </w:r>
          </w:p>
        </w:tc>
        <w:tc>
          <w:tcPr>
            <w:tcW w:w="120" w:type="dxa"/>
            <w:vAlign w:val="bottom"/>
            <w:shd w:val="clear" w:color="auto" w:fill="CCEEFF"/>
          </w:tcPr>
          <w:p>
            <w:pPr>
              <w:spacing w:after="0"/>
              <w:rPr>
                <w:sz w:val="18"/>
                <w:szCs w:val="18"/>
                <w:color w:val="auto"/>
              </w:rPr>
            </w:pPr>
          </w:p>
        </w:tc>
      </w:tr>
      <w:tr>
        <w:trPr>
          <w:trHeight w:val="223"/>
        </w:trPr>
        <w:tc>
          <w:tcPr>
            <w:tcW w:w="7500" w:type="dxa"/>
            <w:vAlign w:val="bottom"/>
            <w:gridSpan w:val="2"/>
          </w:tcPr>
          <w:p>
            <w:pPr>
              <w:spacing w:after="0"/>
              <w:rPr>
                <w:sz w:val="20"/>
                <w:szCs w:val="20"/>
                <w:color w:val="auto"/>
              </w:rPr>
            </w:pPr>
            <w:r>
              <w:rPr>
                <w:rFonts w:ascii="Arial" w:cs="Arial" w:eastAsia="Arial" w:hAnsi="Arial"/>
                <w:sz w:val="18"/>
                <w:szCs w:val="18"/>
                <w:color w:val="auto"/>
              </w:rPr>
              <w:t>End of period</w:t>
            </w:r>
          </w:p>
        </w:tc>
        <w:tc>
          <w:tcPr>
            <w:tcW w:w="1280" w:type="dxa"/>
            <w:vAlign w:val="bottom"/>
          </w:tcPr>
          <w:p>
            <w:pPr>
              <w:spacing w:after="0"/>
              <w:rPr>
                <w:sz w:val="19"/>
                <w:szCs w:val="19"/>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8"/>
                <w:szCs w:val="18"/>
                <w:u w:val="single" w:color="auto"/>
                <w:color w:val="auto"/>
                <w:w w:val="79"/>
              </w:rPr>
              <w:t>$</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6"/>
              </w:rPr>
              <w:t>13,084,181</w:t>
            </w: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9,265,240</w:t>
            </w:r>
          </w:p>
        </w:tc>
        <w:tc>
          <w:tcPr>
            <w:tcW w:w="120" w:type="dxa"/>
            <w:vAlign w:val="bottom"/>
          </w:tcPr>
          <w:p>
            <w:pPr>
              <w:spacing w:after="0"/>
              <w:rPr>
                <w:sz w:val="19"/>
                <w:szCs w:val="19"/>
                <w:color w:val="auto"/>
              </w:rPr>
            </w:pPr>
          </w:p>
        </w:tc>
      </w:tr>
      <w:tr>
        <w:trPr>
          <w:trHeight w:val="20"/>
        </w:trPr>
        <w:tc>
          <w:tcPr>
            <w:tcW w:w="20" w:type="dxa"/>
            <w:vAlign w:val="bottom"/>
          </w:tcPr>
          <w:p>
            <w:pPr>
              <w:spacing w:after="0" w:line="20" w:lineRule="exact"/>
              <w:rPr>
                <w:sz w:val="1"/>
                <w:szCs w:val="1"/>
                <w:color w:val="auto"/>
              </w:rPr>
            </w:pPr>
          </w:p>
        </w:tc>
        <w:tc>
          <w:tcPr>
            <w:tcW w:w="748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74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Supplemental disclosure of cash flow information</w:t>
            </w:r>
          </w:p>
        </w:tc>
        <w:tc>
          <w:tcPr>
            <w:tcW w:w="1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7480" w:type="dxa"/>
            <w:vAlign w:val="bottom"/>
          </w:tcPr>
          <w:p>
            <w:pPr>
              <w:spacing w:after="0"/>
              <w:rPr>
                <w:sz w:val="20"/>
                <w:szCs w:val="20"/>
                <w:color w:val="auto"/>
              </w:rPr>
            </w:pPr>
            <w:r>
              <w:rPr>
                <w:rFonts w:ascii="Arial" w:cs="Arial" w:eastAsia="Arial" w:hAnsi="Arial"/>
                <w:sz w:val="18"/>
                <w:szCs w:val="18"/>
                <w:color w:val="auto"/>
              </w:rPr>
              <w:t>Cash paid for</w:t>
            </w:r>
          </w:p>
        </w:tc>
        <w:tc>
          <w:tcPr>
            <w:tcW w:w="1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74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Income taxes</w:t>
            </w:r>
          </w:p>
        </w:tc>
        <w:tc>
          <w:tcPr>
            <w:tcW w:w="13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r>
      <w:tr>
        <w:trPr>
          <w:trHeight w:val="216"/>
        </w:trPr>
        <w:tc>
          <w:tcPr>
            <w:tcW w:w="20" w:type="dxa"/>
            <w:vAlign w:val="bottom"/>
          </w:tcPr>
          <w:p>
            <w:pPr>
              <w:spacing w:after="0"/>
              <w:rPr>
                <w:sz w:val="18"/>
                <w:szCs w:val="18"/>
                <w:color w:val="auto"/>
              </w:rPr>
            </w:pPr>
          </w:p>
        </w:tc>
        <w:tc>
          <w:tcPr>
            <w:tcW w:w="7480" w:type="dxa"/>
            <w:vAlign w:val="bottom"/>
          </w:tcPr>
          <w:p>
            <w:pPr>
              <w:spacing w:after="0"/>
              <w:rPr>
                <w:sz w:val="20"/>
                <w:szCs w:val="20"/>
                <w:color w:val="auto"/>
              </w:rPr>
            </w:pPr>
            <w:r>
              <w:rPr>
                <w:rFonts w:ascii="Arial" w:cs="Arial" w:eastAsia="Arial" w:hAnsi="Arial"/>
                <w:sz w:val="18"/>
                <w:szCs w:val="18"/>
                <w:b w:val="1"/>
                <w:bCs w:val="1"/>
                <w:color w:val="auto"/>
              </w:rPr>
              <w:t>Supplemental disclosures of noncash information</w:t>
            </w:r>
          </w:p>
        </w:tc>
        <w:tc>
          <w:tcPr>
            <w:tcW w:w="1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7480" w:type="dxa"/>
            <w:vAlign w:val="bottom"/>
            <w:shd w:val="clear" w:color="auto" w:fill="CCEEFF"/>
          </w:tcPr>
          <w:p>
            <w:pPr>
              <w:spacing w:after="0"/>
              <w:rPr>
                <w:sz w:val="20"/>
                <w:szCs w:val="20"/>
                <w:color w:val="auto"/>
              </w:rPr>
            </w:pPr>
            <w:r>
              <w:rPr>
                <w:rFonts w:ascii="Arial" w:cs="Arial" w:eastAsia="Arial" w:hAnsi="Arial"/>
                <w:sz w:val="18"/>
                <w:szCs w:val="18"/>
                <w:color w:val="auto"/>
              </w:rPr>
              <w:t>Accretion of preferred stock</w:t>
            </w:r>
          </w:p>
        </w:tc>
        <w:tc>
          <w:tcPr>
            <w:tcW w:w="1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8,962,651</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2,983,365</w:t>
            </w:r>
          </w:p>
        </w:tc>
        <w:tc>
          <w:tcPr>
            <w:tcW w:w="12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7480" w:type="dxa"/>
            <w:vAlign w:val="bottom"/>
          </w:tcPr>
          <w:p>
            <w:pPr>
              <w:spacing w:after="0"/>
              <w:rPr>
                <w:sz w:val="20"/>
                <w:szCs w:val="20"/>
                <w:color w:val="auto"/>
              </w:rPr>
            </w:pPr>
            <w:r>
              <w:rPr>
                <w:rFonts w:ascii="Arial" w:cs="Arial" w:eastAsia="Arial" w:hAnsi="Arial"/>
                <w:sz w:val="18"/>
                <w:szCs w:val="18"/>
                <w:color w:val="auto"/>
              </w:rPr>
              <w:t>Accretion of preferred stock offering costs</w:t>
            </w:r>
          </w:p>
        </w:tc>
        <w:tc>
          <w:tcPr>
            <w:tcW w:w="1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132,183</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132,183</w:t>
            </w:r>
          </w:p>
        </w:tc>
        <w:tc>
          <w:tcPr>
            <w:tcW w:w="1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7480" w:type="dxa"/>
            <w:vAlign w:val="bottom"/>
            <w:shd w:val="clear" w:color="auto" w:fill="CCEEFF"/>
          </w:tcPr>
          <w:p>
            <w:pPr>
              <w:spacing w:after="0"/>
              <w:rPr>
                <w:sz w:val="20"/>
                <w:szCs w:val="20"/>
                <w:color w:val="auto"/>
              </w:rPr>
            </w:pPr>
            <w:r>
              <w:rPr>
                <w:rFonts w:ascii="Arial" w:cs="Arial" w:eastAsia="Arial" w:hAnsi="Arial"/>
                <w:sz w:val="18"/>
                <w:szCs w:val="18"/>
                <w:color w:val="auto"/>
              </w:rPr>
              <w:t>Property and equipment additions in accounts payable</w:t>
            </w:r>
          </w:p>
        </w:tc>
        <w:tc>
          <w:tcPr>
            <w:tcW w:w="1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94,547</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294,004</w:t>
            </w:r>
          </w:p>
        </w:tc>
        <w:tc>
          <w:tcPr>
            <w:tcW w:w="120" w:type="dxa"/>
            <w:vAlign w:val="bottom"/>
            <w:shd w:val="clear" w:color="auto" w:fill="CCEEFF"/>
          </w:tcPr>
          <w:p>
            <w:pPr>
              <w:spacing w:after="0"/>
              <w:rPr>
                <w:sz w:val="18"/>
                <w:szCs w:val="18"/>
                <w:color w:val="auto"/>
              </w:rPr>
            </w:pPr>
          </w:p>
        </w:tc>
      </w:tr>
      <w:tr>
        <w:trPr>
          <w:trHeight w:val="230"/>
        </w:trPr>
        <w:tc>
          <w:tcPr>
            <w:tcW w:w="20" w:type="dxa"/>
            <w:vAlign w:val="bottom"/>
          </w:tcPr>
          <w:p>
            <w:pPr>
              <w:spacing w:after="0"/>
              <w:rPr>
                <w:sz w:val="20"/>
                <w:szCs w:val="20"/>
                <w:color w:val="auto"/>
              </w:rPr>
            </w:pPr>
          </w:p>
        </w:tc>
        <w:tc>
          <w:tcPr>
            <w:tcW w:w="7480" w:type="dxa"/>
            <w:vAlign w:val="bottom"/>
          </w:tcPr>
          <w:p>
            <w:pPr>
              <w:spacing w:after="0"/>
              <w:rPr>
                <w:sz w:val="20"/>
                <w:szCs w:val="20"/>
                <w:color w:val="auto"/>
              </w:rPr>
            </w:pPr>
            <w:r>
              <w:rPr>
                <w:rFonts w:ascii="Arial" w:cs="Arial" w:eastAsia="Arial" w:hAnsi="Arial"/>
                <w:sz w:val="18"/>
                <w:szCs w:val="18"/>
                <w:color w:val="auto"/>
              </w:rPr>
              <w:t>Property and equipment additions - landlord incentive</w:t>
            </w:r>
          </w:p>
        </w:tc>
        <w:tc>
          <w:tcPr>
            <w:tcW w:w="12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417,871</w:t>
            </w:r>
          </w:p>
        </w:tc>
        <w:tc>
          <w:tcPr>
            <w:tcW w:w="120" w:type="dxa"/>
            <w:vAlign w:val="bottom"/>
          </w:tcPr>
          <w:p>
            <w:pPr>
              <w:spacing w:after="0"/>
              <w:rPr>
                <w:sz w:val="20"/>
                <w:szCs w:val="20"/>
                <w:color w:val="auto"/>
              </w:rPr>
            </w:pPr>
          </w:p>
        </w:tc>
      </w:tr>
    </w:tbl>
    <w:p>
      <w:pPr>
        <w:spacing w:after="0" w:line="187"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158"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040"/>
          </w:cols>
          <w:pgMar w:left="440" w:top="270" w:right="419" w:bottom="1440" w:gutter="0" w:footer="0" w:header="0"/>
        </w:sectPr>
      </w:pPr>
    </w:p>
    <w:bookmarkStart w:id="11" w:name="page12"/>
    <w:bookmarkEnd w:id="11"/>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SiriusDecisions, Inc. and Subsidiaries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March 31, 2018 and 2017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14605</wp:posOffset>
            </wp:positionV>
            <wp:extent cx="6997700" cy="88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6997700" cy="8890"/>
                    </a:xfrm>
                    <a:prstGeom prst="rect">
                      <a:avLst/>
                    </a:prstGeom>
                    <a:noFill/>
                  </pic:spPr>
                </pic:pic>
              </a:graphicData>
            </a:graphic>
          </wp:anchor>
        </w:drawing>
      </w:r>
    </w:p>
    <w:p>
      <w:pPr>
        <w:spacing w:after="0" w:line="187" w:lineRule="exact"/>
        <w:rPr>
          <w:sz w:val="20"/>
          <w:szCs w:val="20"/>
          <w:color w:val="auto"/>
        </w:rPr>
      </w:pPr>
    </w:p>
    <w:p>
      <w:pPr>
        <w:ind w:left="440" w:hanging="436"/>
        <w:spacing w:after="0"/>
        <w:tabs>
          <w:tab w:leader="none" w:pos="440" w:val="left"/>
        </w:tabs>
        <w:numPr>
          <w:ilvl w:val="0"/>
          <w:numId w:val="5"/>
        </w:numPr>
        <w:rPr>
          <w:rFonts w:ascii="Arial" w:cs="Arial" w:eastAsia="Arial" w:hAnsi="Arial"/>
          <w:sz w:val="18"/>
          <w:szCs w:val="18"/>
          <w:b w:val="1"/>
          <w:bCs w:val="1"/>
          <w:color w:val="auto"/>
        </w:rPr>
      </w:pPr>
      <w:r>
        <w:rPr>
          <w:rFonts w:ascii="Arial" w:cs="Arial" w:eastAsia="Arial" w:hAnsi="Arial"/>
          <w:sz w:val="18"/>
          <w:szCs w:val="18"/>
          <w:b w:val="1"/>
          <w:bCs w:val="1"/>
          <w:color w:val="auto"/>
        </w:rPr>
        <w:t>Organization and Nature of Business</w:t>
      </w:r>
    </w:p>
    <w:p>
      <w:pPr>
        <w:spacing w:after="0" w:line="121" w:lineRule="exact"/>
        <w:rPr>
          <w:rFonts w:ascii="Arial" w:cs="Arial" w:eastAsia="Arial" w:hAnsi="Arial"/>
          <w:sz w:val="18"/>
          <w:szCs w:val="18"/>
          <w:b w:val="1"/>
          <w:bCs w:val="1"/>
          <w:color w:val="auto"/>
        </w:rPr>
      </w:pPr>
    </w:p>
    <w:p>
      <w:pPr>
        <w:ind w:left="440" w:right="200"/>
        <w:spacing w:after="0" w:line="264" w:lineRule="auto"/>
        <w:rPr>
          <w:rFonts w:ascii="Arial" w:cs="Arial" w:eastAsia="Arial" w:hAnsi="Arial"/>
          <w:sz w:val="18"/>
          <w:szCs w:val="18"/>
          <w:b w:val="1"/>
          <w:bCs w:val="1"/>
          <w:color w:val="auto"/>
        </w:rPr>
      </w:pPr>
      <w:r>
        <w:rPr>
          <w:rFonts w:ascii="Arial" w:cs="Arial" w:eastAsia="Arial" w:hAnsi="Arial"/>
          <w:sz w:val="18"/>
          <w:szCs w:val="18"/>
          <w:color w:val="auto"/>
        </w:rPr>
        <w:t>SiriusDecisions, Inc. is a global business to business research and advisory firm. Through its platform the Company seeks to deliver actionable, data driven intelligence to its clients to empower sales, product and marketing leader to make better decisions and accelerate growth. SiriusDecisions, Inc. was founded in 2001 and is headquartered in Wilton, Connecticut.</w:t>
      </w:r>
    </w:p>
    <w:p>
      <w:pPr>
        <w:spacing w:after="0" w:line="325" w:lineRule="exact"/>
        <w:rPr>
          <w:rFonts w:ascii="Arial" w:cs="Arial" w:eastAsia="Arial" w:hAnsi="Arial"/>
          <w:sz w:val="18"/>
          <w:szCs w:val="18"/>
          <w:b w:val="1"/>
          <w:bCs w:val="1"/>
          <w:color w:val="auto"/>
        </w:rPr>
      </w:pPr>
    </w:p>
    <w:p>
      <w:pPr>
        <w:ind w:left="440" w:right="7160" w:hanging="436"/>
        <w:spacing w:after="0" w:line="378" w:lineRule="auto"/>
        <w:tabs>
          <w:tab w:leader="none" w:pos="432" w:val="left"/>
        </w:tabs>
        <w:numPr>
          <w:ilvl w:val="0"/>
          <w:numId w:val="5"/>
        </w:numPr>
        <w:rPr>
          <w:rFonts w:ascii="Arial" w:cs="Arial" w:eastAsia="Arial" w:hAnsi="Arial"/>
          <w:sz w:val="18"/>
          <w:szCs w:val="18"/>
          <w:b w:val="1"/>
          <w:bCs w:val="1"/>
          <w:color w:val="auto"/>
        </w:rPr>
      </w:pPr>
      <w:r>
        <w:rPr>
          <w:rFonts w:ascii="Arial" w:cs="Arial" w:eastAsia="Arial" w:hAnsi="Arial"/>
          <w:sz w:val="18"/>
          <w:szCs w:val="18"/>
          <w:b w:val="1"/>
          <w:bCs w:val="1"/>
          <w:color w:val="auto"/>
        </w:rPr>
        <w:t>Summary of Significant Accounting Policies Principles of Consolidation</w:t>
      </w:r>
    </w:p>
    <w:p>
      <w:pPr>
        <w:ind w:left="440" w:right="100"/>
        <w:spacing w:after="0" w:line="264" w:lineRule="auto"/>
        <w:rPr>
          <w:rFonts w:ascii="Arial" w:cs="Arial" w:eastAsia="Arial" w:hAnsi="Arial"/>
          <w:sz w:val="18"/>
          <w:szCs w:val="18"/>
          <w:b w:val="1"/>
          <w:bCs w:val="1"/>
          <w:color w:val="auto"/>
        </w:rPr>
      </w:pPr>
      <w:r>
        <w:rPr>
          <w:rFonts w:ascii="Arial" w:cs="Arial" w:eastAsia="Arial" w:hAnsi="Arial"/>
          <w:sz w:val="18"/>
          <w:szCs w:val="18"/>
          <w:color w:val="auto"/>
        </w:rPr>
        <w:t>The consolidated financial statements include the accounts of SiriusDecisions, Inc.and its wholly owned subsidiaries SiriusDecisions Europe Ltd and SiriusDecisions Asia Pte. Ltd. (collectively, the “Company”). All significant intercompany accounts and transactions are eliminated in consolidation.</w:t>
      </w:r>
    </w:p>
    <w:p>
      <w:pPr>
        <w:spacing w:after="0" w:line="285" w:lineRule="exact"/>
        <w:rPr>
          <w:rFonts w:ascii="Arial" w:cs="Arial" w:eastAsia="Arial" w:hAnsi="Arial"/>
          <w:sz w:val="18"/>
          <w:szCs w:val="18"/>
          <w:b w:val="1"/>
          <w:bCs w:val="1"/>
          <w:color w:val="auto"/>
        </w:rPr>
      </w:pPr>
    </w:p>
    <w:p>
      <w:pPr>
        <w:ind w:left="440"/>
        <w:spacing w:after="0"/>
        <w:rPr>
          <w:rFonts w:ascii="Arial" w:cs="Arial" w:eastAsia="Arial" w:hAnsi="Arial"/>
          <w:sz w:val="18"/>
          <w:szCs w:val="18"/>
          <w:b w:val="1"/>
          <w:bCs w:val="1"/>
          <w:color w:val="auto"/>
        </w:rPr>
      </w:pPr>
      <w:r>
        <w:rPr>
          <w:rFonts w:ascii="Arial" w:cs="Arial" w:eastAsia="Arial" w:hAnsi="Arial"/>
          <w:sz w:val="18"/>
          <w:szCs w:val="18"/>
          <w:b w:val="1"/>
          <w:bCs w:val="1"/>
          <w:color w:val="auto"/>
        </w:rPr>
        <w:t>Use of Estimates</w:t>
      </w:r>
    </w:p>
    <w:p>
      <w:pPr>
        <w:spacing w:after="0" w:line="121" w:lineRule="exact"/>
        <w:rPr>
          <w:rFonts w:ascii="Arial" w:cs="Arial" w:eastAsia="Arial" w:hAnsi="Arial"/>
          <w:sz w:val="18"/>
          <w:szCs w:val="18"/>
          <w:b w:val="1"/>
          <w:bCs w:val="1"/>
          <w:color w:val="auto"/>
        </w:rPr>
      </w:pPr>
    </w:p>
    <w:p>
      <w:pPr>
        <w:ind w:left="440" w:right="60"/>
        <w:spacing w:after="0" w:line="276" w:lineRule="auto"/>
        <w:rPr>
          <w:rFonts w:ascii="Arial" w:cs="Arial" w:eastAsia="Arial" w:hAnsi="Arial"/>
          <w:sz w:val="18"/>
          <w:szCs w:val="18"/>
          <w:b w:val="1"/>
          <w:bCs w:val="1"/>
          <w:color w:val="auto"/>
        </w:rPr>
      </w:pPr>
      <w:r>
        <w:rPr>
          <w:rFonts w:ascii="Arial" w:cs="Arial" w:eastAsia="Arial" w:hAnsi="Arial"/>
          <w:sz w:val="17"/>
          <w:szCs w:val="17"/>
          <w:color w:val="auto"/>
        </w:rPr>
        <w:t>The preparation of consolidated financial statements in conformity with accounting principles generally accepted in the United States of America (“U.S. GAAP”) requires management to make estimates and assumptions that affect the reported amounts of assets and liabilities and disclosure of contingent assets and liabilities at the date of the consolidated financial statements and the reported amounts of revenues and expenses during the reporting period. Actual results could differ from those estimates. Significant estimates include the establishment of allowances for doubtful accounts, recoverability of long-lived assets and the assumptions used for stock option valuations.</w:t>
      </w:r>
    </w:p>
    <w:p>
      <w:pPr>
        <w:spacing w:after="0" w:line="276" w:lineRule="exact"/>
        <w:rPr>
          <w:rFonts w:ascii="Arial" w:cs="Arial" w:eastAsia="Arial" w:hAnsi="Arial"/>
          <w:sz w:val="18"/>
          <w:szCs w:val="18"/>
          <w:b w:val="1"/>
          <w:bCs w:val="1"/>
          <w:color w:val="auto"/>
        </w:rPr>
      </w:pPr>
    </w:p>
    <w:p>
      <w:pPr>
        <w:ind w:left="440"/>
        <w:spacing w:after="0"/>
        <w:rPr>
          <w:rFonts w:ascii="Arial" w:cs="Arial" w:eastAsia="Arial" w:hAnsi="Arial"/>
          <w:sz w:val="18"/>
          <w:szCs w:val="18"/>
          <w:b w:val="1"/>
          <w:bCs w:val="1"/>
          <w:color w:val="auto"/>
        </w:rPr>
      </w:pPr>
      <w:r>
        <w:rPr>
          <w:rFonts w:ascii="Arial" w:cs="Arial" w:eastAsia="Arial" w:hAnsi="Arial"/>
          <w:sz w:val="18"/>
          <w:szCs w:val="18"/>
          <w:b w:val="1"/>
          <w:bCs w:val="1"/>
          <w:color w:val="auto"/>
        </w:rPr>
        <w:t>Risk and Uncertainties</w:t>
      </w:r>
    </w:p>
    <w:p>
      <w:pPr>
        <w:spacing w:after="0" w:line="121" w:lineRule="exact"/>
        <w:rPr>
          <w:rFonts w:ascii="Arial" w:cs="Arial" w:eastAsia="Arial" w:hAnsi="Arial"/>
          <w:sz w:val="18"/>
          <w:szCs w:val="18"/>
          <w:b w:val="1"/>
          <w:bCs w:val="1"/>
          <w:color w:val="auto"/>
        </w:rPr>
      </w:pPr>
    </w:p>
    <w:p>
      <w:pPr>
        <w:ind w:left="440"/>
        <w:spacing w:after="0" w:line="264" w:lineRule="auto"/>
        <w:rPr>
          <w:rFonts w:ascii="Arial" w:cs="Arial" w:eastAsia="Arial" w:hAnsi="Arial"/>
          <w:sz w:val="18"/>
          <w:szCs w:val="18"/>
          <w:b w:val="1"/>
          <w:bCs w:val="1"/>
          <w:color w:val="auto"/>
        </w:rPr>
      </w:pPr>
      <w:r>
        <w:rPr>
          <w:rFonts w:ascii="Arial" w:cs="Arial" w:eastAsia="Arial" w:hAnsi="Arial"/>
          <w:sz w:val="18"/>
          <w:szCs w:val="18"/>
          <w:color w:val="auto"/>
        </w:rPr>
        <w:t>The Company’s financial instruments that are exposed to concentrations of credit risk consist primarily of trade accounts receivable. The Company has not experienced any significant losses in such accounts and believes it is not exposed to any significant credit risk with respect to its trade accounts receivable.</w:t>
      </w:r>
    </w:p>
    <w:p>
      <w:pPr>
        <w:spacing w:after="0" w:line="73" w:lineRule="exact"/>
        <w:rPr>
          <w:rFonts w:ascii="Arial" w:cs="Arial" w:eastAsia="Arial" w:hAnsi="Arial"/>
          <w:sz w:val="18"/>
          <w:szCs w:val="18"/>
          <w:b w:val="1"/>
          <w:bCs w:val="1"/>
          <w:color w:val="auto"/>
        </w:rPr>
      </w:pPr>
    </w:p>
    <w:p>
      <w:pPr>
        <w:ind w:left="440" w:right="840"/>
        <w:spacing w:after="0" w:line="308" w:lineRule="auto"/>
        <w:rPr>
          <w:rFonts w:ascii="Arial" w:cs="Arial" w:eastAsia="Arial" w:hAnsi="Arial"/>
          <w:sz w:val="18"/>
          <w:szCs w:val="18"/>
          <w:b w:val="1"/>
          <w:bCs w:val="1"/>
          <w:color w:val="auto"/>
        </w:rPr>
      </w:pPr>
      <w:r>
        <w:rPr>
          <w:rFonts w:ascii="Arial" w:cs="Arial" w:eastAsia="Arial" w:hAnsi="Arial"/>
          <w:sz w:val="17"/>
          <w:szCs w:val="17"/>
          <w:color w:val="auto"/>
        </w:rPr>
        <w:t>The Company maintains its cash in bank deposit accounts, which, at times, may exceed federally insured limits. The Company has not experienced any losses in such accounts. The Company believes it is not exposed to any significant credit risk on cash.</w:t>
      </w:r>
    </w:p>
    <w:p>
      <w:pPr>
        <w:spacing w:after="0" w:line="250" w:lineRule="exact"/>
        <w:rPr>
          <w:rFonts w:ascii="Arial" w:cs="Arial" w:eastAsia="Arial" w:hAnsi="Arial"/>
          <w:sz w:val="18"/>
          <w:szCs w:val="18"/>
          <w:b w:val="1"/>
          <w:bCs w:val="1"/>
          <w:color w:val="auto"/>
        </w:rPr>
      </w:pPr>
    </w:p>
    <w:p>
      <w:pPr>
        <w:ind w:left="440"/>
        <w:spacing w:after="0"/>
        <w:rPr>
          <w:rFonts w:ascii="Arial" w:cs="Arial" w:eastAsia="Arial" w:hAnsi="Arial"/>
          <w:sz w:val="18"/>
          <w:szCs w:val="18"/>
          <w:b w:val="1"/>
          <w:bCs w:val="1"/>
          <w:color w:val="auto"/>
        </w:rPr>
      </w:pPr>
      <w:r>
        <w:rPr>
          <w:rFonts w:ascii="Arial" w:cs="Arial" w:eastAsia="Arial" w:hAnsi="Arial"/>
          <w:sz w:val="18"/>
          <w:szCs w:val="18"/>
          <w:b w:val="1"/>
          <w:bCs w:val="1"/>
          <w:color w:val="auto"/>
        </w:rPr>
        <w:t>Revenue Recognition and Deferred Revenue</w:t>
      </w:r>
    </w:p>
    <w:p>
      <w:pPr>
        <w:spacing w:after="0" w:line="121" w:lineRule="exact"/>
        <w:rPr>
          <w:rFonts w:ascii="Arial" w:cs="Arial" w:eastAsia="Arial" w:hAnsi="Arial"/>
          <w:sz w:val="18"/>
          <w:szCs w:val="18"/>
          <w:b w:val="1"/>
          <w:bCs w:val="1"/>
          <w:color w:val="auto"/>
        </w:rPr>
      </w:pPr>
    </w:p>
    <w:p>
      <w:pPr>
        <w:ind w:left="440"/>
        <w:spacing w:after="0"/>
        <w:rPr>
          <w:rFonts w:ascii="Arial" w:cs="Arial" w:eastAsia="Arial" w:hAnsi="Arial"/>
          <w:sz w:val="18"/>
          <w:szCs w:val="18"/>
          <w:b w:val="1"/>
          <w:bCs w:val="1"/>
          <w:color w:val="auto"/>
        </w:rPr>
      </w:pPr>
      <w:r>
        <w:rPr>
          <w:rFonts w:ascii="Arial" w:cs="Arial" w:eastAsia="Arial" w:hAnsi="Arial"/>
          <w:sz w:val="18"/>
          <w:szCs w:val="18"/>
          <w:color w:val="auto"/>
        </w:rPr>
        <w:t>The Company’s revenue recognition policies by significant revenue source are as follows:</w:t>
      </w:r>
    </w:p>
    <w:p>
      <w:pPr>
        <w:spacing w:after="0" w:line="333" w:lineRule="exact"/>
        <w:rPr>
          <w:rFonts w:ascii="Arial" w:cs="Arial" w:eastAsia="Arial" w:hAnsi="Arial"/>
          <w:sz w:val="18"/>
          <w:szCs w:val="18"/>
          <w:b w:val="1"/>
          <w:bCs w:val="1"/>
          <w:color w:val="auto"/>
        </w:rPr>
      </w:pPr>
    </w:p>
    <w:p>
      <w:pPr>
        <w:ind w:left="440"/>
        <w:spacing w:after="0"/>
        <w:rPr>
          <w:rFonts w:ascii="Arial" w:cs="Arial" w:eastAsia="Arial" w:hAnsi="Arial"/>
          <w:sz w:val="18"/>
          <w:szCs w:val="18"/>
          <w:b w:val="1"/>
          <w:bCs w:val="1"/>
          <w:color w:val="auto"/>
        </w:rPr>
      </w:pPr>
      <w:r>
        <w:rPr>
          <w:rFonts w:ascii="Arial" w:cs="Arial" w:eastAsia="Arial" w:hAnsi="Arial"/>
          <w:sz w:val="18"/>
          <w:szCs w:val="18"/>
          <w:b w:val="1"/>
          <w:bCs w:val="1"/>
          <w:i w:val="1"/>
          <w:iCs w:val="1"/>
          <w:color w:val="auto"/>
        </w:rPr>
        <w:t>Research Services</w:t>
      </w:r>
    </w:p>
    <w:p>
      <w:pPr>
        <w:spacing w:after="0" w:line="117" w:lineRule="exact"/>
        <w:rPr>
          <w:rFonts w:ascii="Arial" w:cs="Arial" w:eastAsia="Arial" w:hAnsi="Arial"/>
          <w:sz w:val="18"/>
          <w:szCs w:val="18"/>
          <w:b w:val="1"/>
          <w:bCs w:val="1"/>
          <w:color w:val="auto"/>
        </w:rPr>
      </w:pPr>
    </w:p>
    <w:p>
      <w:pPr>
        <w:ind w:left="440" w:right="340"/>
        <w:spacing w:after="0" w:line="259" w:lineRule="auto"/>
        <w:rPr>
          <w:rFonts w:ascii="Arial" w:cs="Arial" w:eastAsia="Arial" w:hAnsi="Arial"/>
          <w:sz w:val="18"/>
          <w:szCs w:val="18"/>
          <w:b w:val="1"/>
          <w:bCs w:val="1"/>
          <w:color w:val="auto"/>
        </w:rPr>
      </w:pPr>
      <w:r>
        <w:rPr>
          <w:rFonts w:ascii="Arial" w:cs="Arial" w:eastAsia="Arial" w:hAnsi="Arial"/>
          <w:sz w:val="18"/>
          <w:szCs w:val="18"/>
          <w:color w:val="auto"/>
        </w:rPr>
        <w:t>This is a membership-driven service. The service is built to provide senior-level business-to-business executives with the sales and marketing operational insight required to improve topline performance. Members access this information via email, telephone, events and a self-service research portal. Members sign a membership agreement which runs for a specific period of time (typically one to two years). Revenue is recognized over the term of the agreement.</w:t>
      </w:r>
    </w:p>
    <w:p>
      <w:pPr>
        <w:spacing w:after="0" w:line="294" w:lineRule="exact"/>
        <w:rPr>
          <w:rFonts w:ascii="Arial" w:cs="Arial" w:eastAsia="Arial" w:hAnsi="Arial"/>
          <w:sz w:val="18"/>
          <w:szCs w:val="18"/>
          <w:b w:val="1"/>
          <w:bCs w:val="1"/>
          <w:color w:val="auto"/>
        </w:rPr>
      </w:pPr>
    </w:p>
    <w:p>
      <w:pPr>
        <w:ind w:left="440"/>
        <w:spacing w:after="0"/>
        <w:rPr>
          <w:rFonts w:ascii="Arial" w:cs="Arial" w:eastAsia="Arial" w:hAnsi="Arial"/>
          <w:sz w:val="18"/>
          <w:szCs w:val="18"/>
          <w:b w:val="1"/>
          <w:bCs w:val="1"/>
          <w:color w:val="auto"/>
        </w:rPr>
      </w:pPr>
      <w:r>
        <w:rPr>
          <w:rFonts w:ascii="Arial" w:cs="Arial" w:eastAsia="Arial" w:hAnsi="Arial"/>
          <w:sz w:val="18"/>
          <w:szCs w:val="18"/>
          <w:b w:val="1"/>
          <w:bCs w:val="1"/>
          <w:i w:val="1"/>
          <w:iCs w:val="1"/>
          <w:color w:val="auto"/>
        </w:rPr>
        <w:t>Events</w:t>
      </w:r>
    </w:p>
    <w:p>
      <w:pPr>
        <w:spacing w:after="0" w:line="117" w:lineRule="exact"/>
        <w:rPr>
          <w:rFonts w:ascii="Arial" w:cs="Arial" w:eastAsia="Arial" w:hAnsi="Arial"/>
          <w:sz w:val="18"/>
          <w:szCs w:val="18"/>
          <w:b w:val="1"/>
          <w:bCs w:val="1"/>
          <w:color w:val="auto"/>
        </w:rPr>
      </w:pPr>
    </w:p>
    <w:p>
      <w:pPr>
        <w:ind w:left="440" w:right="40"/>
        <w:spacing w:after="0" w:line="264" w:lineRule="auto"/>
        <w:rPr>
          <w:rFonts w:ascii="Arial" w:cs="Arial" w:eastAsia="Arial" w:hAnsi="Arial"/>
          <w:sz w:val="18"/>
          <w:szCs w:val="18"/>
          <w:b w:val="1"/>
          <w:bCs w:val="1"/>
          <w:color w:val="auto"/>
        </w:rPr>
      </w:pPr>
      <w:r>
        <w:rPr>
          <w:rFonts w:ascii="Arial" w:cs="Arial" w:eastAsia="Arial" w:hAnsi="Arial"/>
          <w:sz w:val="18"/>
          <w:szCs w:val="18"/>
          <w:color w:val="auto"/>
        </w:rPr>
        <w:t>The Company holds conferences during the year. Events revenues, which are primarily comprised of sponsorship revenue and registration revenue, are deferred and recognized upon the completion of the related conference. In addition, the Company defers certain costs directly related to events and expenses these costs in the period during which the related event occurs.</w:t>
      </w:r>
    </w:p>
    <w:p>
      <w:pPr>
        <w:spacing w:after="0" w:line="11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0980"/>
          </w:cols>
          <w:pgMar w:left="440" w:top="270" w:right="479" w:bottom="1440" w:gutter="0" w:footer="0" w:header="0"/>
        </w:sectPr>
      </w:pPr>
    </w:p>
    <w:bookmarkStart w:id="12" w:name="page13"/>
    <w:bookmarkEnd w:id="12"/>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SiriusDecisions, Inc. and Subsidiaries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March 31, 2018 and 2017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14605</wp:posOffset>
            </wp:positionV>
            <wp:extent cx="6997700" cy="88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6997700" cy="8890"/>
                    </a:xfrm>
                    <a:prstGeom prst="rect">
                      <a:avLst/>
                    </a:prstGeom>
                    <a:noFill/>
                  </pic:spPr>
                </pic:pic>
              </a:graphicData>
            </a:graphic>
          </wp:anchor>
        </w:drawing>
      </w:r>
    </w:p>
    <w:p>
      <w:pPr>
        <w:spacing w:after="0" w:line="191" w:lineRule="exact"/>
        <w:rPr>
          <w:sz w:val="20"/>
          <w:szCs w:val="20"/>
          <w:color w:val="auto"/>
        </w:rPr>
      </w:pPr>
    </w:p>
    <w:p>
      <w:pPr>
        <w:ind w:left="440"/>
        <w:spacing w:after="0"/>
        <w:rPr>
          <w:sz w:val="20"/>
          <w:szCs w:val="20"/>
          <w:color w:val="auto"/>
        </w:rPr>
      </w:pPr>
      <w:r>
        <w:rPr>
          <w:rFonts w:ascii="Arial" w:cs="Arial" w:eastAsia="Arial" w:hAnsi="Arial"/>
          <w:sz w:val="18"/>
          <w:szCs w:val="18"/>
          <w:b w:val="1"/>
          <w:bCs w:val="1"/>
          <w:i w:val="1"/>
          <w:iCs w:val="1"/>
          <w:color w:val="auto"/>
        </w:rPr>
        <w:t>Consulting Services</w:t>
      </w:r>
    </w:p>
    <w:p>
      <w:pPr>
        <w:spacing w:after="0" w:line="117" w:lineRule="exact"/>
        <w:rPr>
          <w:sz w:val="20"/>
          <w:szCs w:val="20"/>
          <w:color w:val="auto"/>
        </w:rPr>
      </w:pPr>
    </w:p>
    <w:p>
      <w:pPr>
        <w:ind w:left="440" w:right="100"/>
        <w:spacing w:after="0" w:line="308" w:lineRule="auto"/>
        <w:rPr>
          <w:sz w:val="20"/>
          <w:szCs w:val="20"/>
          <w:color w:val="auto"/>
        </w:rPr>
      </w:pPr>
      <w:r>
        <w:rPr>
          <w:rFonts w:ascii="Arial" w:cs="Arial" w:eastAsia="Arial" w:hAnsi="Arial"/>
          <w:sz w:val="17"/>
          <w:szCs w:val="17"/>
          <w:color w:val="auto"/>
        </w:rPr>
        <w:t>Consulting revenues, primarily derived from consulting, training classes, and general marketing projects, are principally generated from fixed fee or time and materials engagements. Consulting revenues are recognized as work is delivered and/or services are provided.</w:t>
      </w:r>
    </w:p>
    <w:p>
      <w:pPr>
        <w:spacing w:after="0" w:line="255" w:lineRule="exact"/>
        <w:rPr>
          <w:sz w:val="20"/>
          <w:szCs w:val="20"/>
          <w:color w:val="auto"/>
        </w:rPr>
      </w:pPr>
    </w:p>
    <w:p>
      <w:pPr>
        <w:ind w:left="440"/>
        <w:spacing w:after="0"/>
        <w:rPr>
          <w:sz w:val="20"/>
          <w:szCs w:val="20"/>
          <w:color w:val="auto"/>
        </w:rPr>
      </w:pPr>
      <w:r>
        <w:rPr>
          <w:rFonts w:ascii="Arial" w:cs="Arial" w:eastAsia="Arial" w:hAnsi="Arial"/>
          <w:sz w:val="18"/>
          <w:szCs w:val="18"/>
          <w:b w:val="1"/>
          <w:bCs w:val="1"/>
          <w:i w:val="1"/>
          <w:iCs w:val="1"/>
          <w:color w:val="auto"/>
        </w:rPr>
        <w:t>Learning Services</w:t>
      </w:r>
    </w:p>
    <w:p>
      <w:pPr>
        <w:spacing w:after="0" w:line="117" w:lineRule="exact"/>
        <w:rPr>
          <w:sz w:val="20"/>
          <w:szCs w:val="20"/>
          <w:color w:val="auto"/>
        </w:rPr>
      </w:pPr>
    </w:p>
    <w:p>
      <w:pPr>
        <w:jc w:val="both"/>
        <w:ind w:left="440" w:right="20"/>
        <w:spacing w:after="0" w:line="264" w:lineRule="auto"/>
        <w:rPr>
          <w:sz w:val="20"/>
          <w:szCs w:val="20"/>
          <w:color w:val="auto"/>
        </w:rPr>
      </w:pPr>
      <w:r>
        <w:rPr>
          <w:rFonts w:ascii="Arial" w:cs="Arial" w:eastAsia="Arial" w:hAnsi="Arial"/>
          <w:sz w:val="18"/>
          <w:szCs w:val="18"/>
          <w:color w:val="auto"/>
        </w:rPr>
        <w:t>Learning revenues are generated from a membership-driven service. The Company provides online courses for business-to-business professionals. Members access information via a self-service portal, and members sign a membership agreement that runs for a specific period of time. Revenue is deferred and recognized over the term of the agreement.</w:t>
      </w:r>
    </w:p>
    <w:p>
      <w:pPr>
        <w:spacing w:after="0" w:line="285" w:lineRule="exact"/>
        <w:rPr>
          <w:sz w:val="20"/>
          <w:szCs w:val="20"/>
          <w:color w:val="auto"/>
        </w:rPr>
      </w:pPr>
    </w:p>
    <w:p>
      <w:pPr>
        <w:ind w:left="440"/>
        <w:spacing w:after="0"/>
        <w:rPr>
          <w:sz w:val="20"/>
          <w:szCs w:val="20"/>
          <w:color w:val="auto"/>
        </w:rPr>
      </w:pPr>
      <w:r>
        <w:rPr>
          <w:rFonts w:ascii="Arial" w:cs="Arial" w:eastAsia="Arial" w:hAnsi="Arial"/>
          <w:sz w:val="18"/>
          <w:szCs w:val="18"/>
          <w:b w:val="1"/>
          <w:bCs w:val="1"/>
          <w:color w:val="auto"/>
        </w:rPr>
        <w:t>Cash and Cash Equivalents</w:t>
      </w:r>
    </w:p>
    <w:p>
      <w:pPr>
        <w:spacing w:after="0" w:line="121" w:lineRule="exact"/>
        <w:rPr>
          <w:sz w:val="20"/>
          <w:szCs w:val="20"/>
          <w:color w:val="auto"/>
        </w:rPr>
      </w:pPr>
    </w:p>
    <w:p>
      <w:pPr>
        <w:ind w:left="440"/>
        <w:spacing w:after="0"/>
        <w:rPr>
          <w:sz w:val="20"/>
          <w:szCs w:val="20"/>
          <w:color w:val="auto"/>
        </w:rPr>
      </w:pPr>
      <w:r>
        <w:rPr>
          <w:rFonts w:ascii="Arial" w:cs="Arial" w:eastAsia="Arial" w:hAnsi="Arial"/>
          <w:sz w:val="17"/>
          <w:szCs w:val="17"/>
          <w:color w:val="auto"/>
        </w:rPr>
        <w:t>Cash and cash equivalents include all monies in banks and highly liquid investments with initial maturity dates of three months or less.</w:t>
      </w:r>
    </w:p>
    <w:p>
      <w:pPr>
        <w:spacing w:after="0" w:line="341" w:lineRule="exact"/>
        <w:rPr>
          <w:sz w:val="20"/>
          <w:szCs w:val="20"/>
          <w:color w:val="auto"/>
        </w:rPr>
      </w:pPr>
    </w:p>
    <w:p>
      <w:pPr>
        <w:ind w:left="440"/>
        <w:spacing w:after="0"/>
        <w:rPr>
          <w:sz w:val="20"/>
          <w:szCs w:val="20"/>
          <w:color w:val="auto"/>
        </w:rPr>
      </w:pPr>
      <w:r>
        <w:rPr>
          <w:rFonts w:ascii="Arial" w:cs="Arial" w:eastAsia="Arial" w:hAnsi="Arial"/>
          <w:sz w:val="18"/>
          <w:szCs w:val="18"/>
          <w:b w:val="1"/>
          <w:bCs w:val="1"/>
          <w:color w:val="auto"/>
        </w:rPr>
        <w:t>Accounts Receivable</w:t>
      </w:r>
    </w:p>
    <w:p>
      <w:pPr>
        <w:spacing w:after="0" w:line="121" w:lineRule="exact"/>
        <w:rPr>
          <w:sz w:val="20"/>
          <w:szCs w:val="20"/>
          <w:color w:val="auto"/>
        </w:rPr>
      </w:pPr>
    </w:p>
    <w:p>
      <w:pPr>
        <w:ind w:left="440" w:right="320"/>
        <w:spacing w:after="0" w:line="312" w:lineRule="auto"/>
        <w:rPr>
          <w:sz w:val="20"/>
          <w:szCs w:val="20"/>
          <w:color w:val="auto"/>
        </w:rPr>
      </w:pPr>
      <w:r>
        <w:rPr>
          <w:rFonts w:ascii="Arial" w:cs="Arial" w:eastAsia="Arial" w:hAnsi="Arial"/>
          <w:sz w:val="16"/>
          <w:szCs w:val="16"/>
          <w:color w:val="auto"/>
        </w:rPr>
        <w:t>The Company extends credit to its customers, based upon credit evaluations, in the normal course of business. Bad debts are provided on the allowance method based on historical experience and management’s evaluation of outstanding accounts receivable. The Company provides an allowance for doubtful accounts equal to the estimated losses expected to be incurred in the collection of accounts receivable.</w:t>
      </w:r>
    </w:p>
    <w:p>
      <w:pPr>
        <w:spacing w:after="0" w:line="251" w:lineRule="exact"/>
        <w:rPr>
          <w:sz w:val="20"/>
          <w:szCs w:val="20"/>
          <w:color w:val="auto"/>
        </w:rPr>
      </w:pPr>
    </w:p>
    <w:p>
      <w:pPr>
        <w:ind w:left="440"/>
        <w:spacing w:after="0"/>
        <w:rPr>
          <w:sz w:val="20"/>
          <w:szCs w:val="20"/>
          <w:color w:val="auto"/>
        </w:rPr>
      </w:pPr>
      <w:r>
        <w:rPr>
          <w:rFonts w:ascii="Arial" w:cs="Arial" w:eastAsia="Arial" w:hAnsi="Arial"/>
          <w:sz w:val="18"/>
          <w:szCs w:val="18"/>
          <w:b w:val="1"/>
          <w:bCs w:val="1"/>
          <w:color w:val="auto"/>
        </w:rPr>
        <w:t>Property and Equipment</w:t>
      </w:r>
    </w:p>
    <w:p>
      <w:pPr>
        <w:spacing w:after="0" w:line="121" w:lineRule="exact"/>
        <w:rPr>
          <w:sz w:val="20"/>
          <w:szCs w:val="20"/>
          <w:color w:val="auto"/>
        </w:rPr>
      </w:pPr>
    </w:p>
    <w:p>
      <w:pPr>
        <w:ind w:left="440"/>
        <w:spacing w:after="0" w:line="259" w:lineRule="auto"/>
        <w:rPr>
          <w:sz w:val="20"/>
          <w:szCs w:val="20"/>
          <w:color w:val="auto"/>
        </w:rPr>
      </w:pPr>
      <w:r>
        <w:rPr>
          <w:rFonts w:ascii="Arial" w:cs="Arial" w:eastAsia="Arial" w:hAnsi="Arial"/>
          <w:sz w:val="18"/>
          <w:szCs w:val="18"/>
          <w:color w:val="auto"/>
        </w:rPr>
        <w:t>Property and equipment is stated at cost. Depreciation and amortization of property and equipment is provided by the straight-line method over the estimated useful lives of the respective assets. Leasehold improvements are amortized over the shorter of the respective lease term or the estimated useful life of the leased property. Additions and major improvements are capitalized, whereas the cost of maintenance and repairs are charged to operations as incurred.</w:t>
      </w:r>
    </w:p>
    <w:p>
      <w:pPr>
        <w:spacing w:after="0" w:line="79" w:lineRule="exact"/>
        <w:rPr>
          <w:sz w:val="20"/>
          <w:szCs w:val="20"/>
          <w:color w:val="auto"/>
        </w:rPr>
      </w:pPr>
    </w:p>
    <w:p>
      <w:pPr>
        <w:ind w:left="440"/>
        <w:spacing w:after="0"/>
        <w:rPr>
          <w:sz w:val="20"/>
          <w:szCs w:val="20"/>
          <w:color w:val="auto"/>
        </w:rPr>
      </w:pPr>
      <w:r>
        <w:rPr>
          <w:rFonts w:ascii="Arial" w:cs="Arial" w:eastAsia="Arial" w:hAnsi="Arial"/>
          <w:sz w:val="18"/>
          <w:szCs w:val="18"/>
          <w:color w:val="auto"/>
        </w:rPr>
        <w:t>Depreciation and amortization is provided over the estimated useful lives of the assets as follows</w:t>
      </w:r>
    </w:p>
    <w:p>
      <w:pPr>
        <w:spacing w:after="0" w:line="231" w:lineRule="exact"/>
        <w:rPr>
          <w:sz w:val="20"/>
          <w:szCs w:val="20"/>
          <w:color w:val="auto"/>
        </w:rPr>
      </w:pPr>
    </w:p>
    <w:tbl>
      <w:tblPr>
        <w:tblLayout w:type="fixed"/>
        <w:tblInd w:w="440" w:type="dxa"/>
        <w:tblCellMar>
          <w:top w:w="0" w:type="dxa"/>
          <w:left w:w="0" w:type="dxa"/>
          <w:bottom w:w="0" w:type="dxa"/>
          <w:right w:w="0" w:type="dxa"/>
        </w:tblCellMar>
      </w:tblPr>
      <w:tr>
        <w:trPr>
          <w:trHeight w:val="161"/>
        </w:trPr>
        <w:tc>
          <w:tcPr>
            <w:tcW w:w="900" w:type="dxa"/>
            <w:vAlign w:val="bottom"/>
          </w:tcPr>
          <w:p>
            <w:pPr>
              <w:spacing w:after="0"/>
              <w:rPr>
                <w:sz w:val="14"/>
                <w:szCs w:val="14"/>
                <w:color w:val="auto"/>
              </w:rPr>
            </w:pPr>
          </w:p>
        </w:tc>
        <w:tc>
          <w:tcPr>
            <w:tcW w:w="3500" w:type="dxa"/>
            <w:vAlign w:val="bottom"/>
          </w:tcPr>
          <w:p>
            <w:pPr>
              <w:spacing w:after="0"/>
              <w:rPr>
                <w:sz w:val="14"/>
                <w:szCs w:val="14"/>
                <w:color w:val="auto"/>
              </w:rPr>
            </w:pPr>
          </w:p>
        </w:tc>
        <w:tc>
          <w:tcPr>
            <w:tcW w:w="2340" w:type="dxa"/>
            <w:vAlign w:val="bottom"/>
            <w:vMerge w:val="restart"/>
          </w:tcPr>
          <w:p>
            <w:pPr>
              <w:jc w:val="center"/>
              <w:ind w:right="374"/>
              <w:spacing w:after="0"/>
              <w:rPr>
                <w:sz w:val="20"/>
                <w:szCs w:val="20"/>
                <w:color w:val="auto"/>
              </w:rPr>
            </w:pPr>
            <w:r>
              <w:rPr>
                <w:rFonts w:ascii="Arial" w:cs="Arial" w:eastAsia="Arial" w:hAnsi="Arial"/>
                <w:sz w:val="14"/>
                <w:szCs w:val="14"/>
                <w:b w:val="1"/>
                <w:bCs w:val="1"/>
                <w:color w:val="auto"/>
                <w:w w:val="96"/>
              </w:rPr>
              <w:t>Method</w:t>
            </w:r>
          </w:p>
        </w:tc>
        <w:tc>
          <w:tcPr>
            <w:tcW w:w="2520" w:type="dxa"/>
            <w:vAlign w:val="bottom"/>
          </w:tcPr>
          <w:p>
            <w:pPr>
              <w:jc w:val="center"/>
              <w:ind w:left="16"/>
              <w:spacing w:after="0"/>
              <w:rPr>
                <w:sz w:val="20"/>
                <w:szCs w:val="20"/>
                <w:color w:val="auto"/>
              </w:rPr>
            </w:pPr>
            <w:r>
              <w:rPr>
                <w:rFonts w:ascii="Arial" w:cs="Arial" w:eastAsia="Arial" w:hAnsi="Arial"/>
                <w:sz w:val="14"/>
                <w:szCs w:val="14"/>
                <w:b w:val="1"/>
                <w:bCs w:val="1"/>
                <w:color w:val="auto"/>
                <w:w w:val="92"/>
              </w:rPr>
              <w:t>Estimated</w:t>
            </w:r>
          </w:p>
        </w:tc>
        <w:tc>
          <w:tcPr>
            <w:tcW w:w="0" w:type="dxa"/>
            <w:vAlign w:val="bottom"/>
          </w:tcPr>
          <w:p>
            <w:pPr>
              <w:spacing w:after="0"/>
              <w:rPr>
                <w:sz w:val="1"/>
                <w:szCs w:val="1"/>
                <w:color w:val="auto"/>
              </w:rPr>
            </w:pPr>
          </w:p>
        </w:tc>
      </w:tr>
      <w:tr>
        <w:trPr>
          <w:trHeight w:val="171"/>
        </w:trPr>
        <w:tc>
          <w:tcPr>
            <w:tcW w:w="900" w:type="dxa"/>
            <w:vAlign w:val="bottom"/>
          </w:tcPr>
          <w:p>
            <w:pPr>
              <w:spacing w:after="0"/>
              <w:rPr>
                <w:sz w:val="14"/>
                <w:szCs w:val="14"/>
                <w:color w:val="auto"/>
              </w:rPr>
            </w:pPr>
          </w:p>
        </w:tc>
        <w:tc>
          <w:tcPr>
            <w:tcW w:w="3500" w:type="dxa"/>
            <w:vAlign w:val="bottom"/>
          </w:tcPr>
          <w:p>
            <w:pPr>
              <w:spacing w:after="0"/>
              <w:rPr>
                <w:sz w:val="14"/>
                <w:szCs w:val="14"/>
                <w:color w:val="auto"/>
              </w:rPr>
            </w:pPr>
          </w:p>
        </w:tc>
        <w:tc>
          <w:tcPr>
            <w:tcW w:w="2340" w:type="dxa"/>
            <w:vAlign w:val="bottom"/>
            <w:vMerge w:val="continue"/>
          </w:tcPr>
          <w:p>
            <w:pPr>
              <w:spacing w:after="0"/>
              <w:rPr>
                <w:sz w:val="14"/>
                <w:szCs w:val="14"/>
                <w:color w:val="auto"/>
              </w:rPr>
            </w:pPr>
          </w:p>
        </w:tc>
        <w:tc>
          <w:tcPr>
            <w:tcW w:w="2520" w:type="dxa"/>
            <w:vAlign w:val="bottom"/>
          </w:tcPr>
          <w:p>
            <w:pPr>
              <w:jc w:val="center"/>
              <w:ind w:left="16"/>
              <w:spacing w:after="0"/>
              <w:rPr>
                <w:sz w:val="20"/>
                <w:szCs w:val="20"/>
                <w:color w:val="auto"/>
              </w:rPr>
            </w:pPr>
            <w:r>
              <w:rPr>
                <w:rFonts w:ascii="Arial" w:cs="Arial" w:eastAsia="Arial" w:hAnsi="Arial"/>
                <w:sz w:val="14"/>
                <w:szCs w:val="14"/>
                <w:b w:val="1"/>
                <w:bCs w:val="1"/>
                <w:color w:val="auto"/>
                <w:w w:val="92"/>
              </w:rPr>
              <w:t>Useful Life</w:t>
            </w:r>
          </w:p>
        </w:tc>
        <w:tc>
          <w:tcPr>
            <w:tcW w:w="0" w:type="dxa"/>
            <w:vAlign w:val="bottom"/>
          </w:tcPr>
          <w:p>
            <w:pPr>
              <w:spacing w:after="0"/>
              <w:rPr>
                <w:sz w:val="1"/>
                <w:szCs w:val="1"/>
                <w:color w:val="auto"/>
              </w:rPr>
            </w:pPr>
          </w:p>
        </w:tc>
      </w:tr>
      <w:tr>
        <w:trPr>
          <w:trHeight w:val="216"/>
        </w:trPr>
        <w:tc>
          <w:tcPr>
            <w:tcW w:w="900" w:type="dxa"/>
            <w:vAlign w:val="bottom"/>
          </w:tcPr>
          <w:p>
            <w:pPr>
              <w:spacing w:after="0"/>
              <w:rPr>
                <w:sz w:val="18"/>
                <w:szCs w:val="18"/>
                <w:color w:val="auto"/>
              </w:rPr>
            </w:pPr>
          </w:p>
        </w:tc>
        <w:tc>
          <w:tcPr>
            <w:tcW w:w="3500" w:type="dxa"/>
            <w:vAlign w:val="bottom"/>
            <w:shd w:val="clear" w:color="auto" w:fill="CCEEFF"/>
          </w:tcPr>
          <w:p>
            <w:pPr>
              <w:spacing w:after="0"/>
              <w:rPr>
                <w:sz w:val="20"/>
                <w:szCs w:val="20"/>
                <w:color w:val="auto"/>
              </w:rPr>
            </w:pPr>
            <w:r>
              <w:rPr>
                <w:rFonts w:ascii="Arial" w:cs="Arial" w:eastAsia="Arial" w:hAnsi="Arial"/>
                <w:sz w:val="18"/>
                <w:szCs w:val="18"/>
                <w:color w:val="auto"/>
              </w:rPr>
              <w:t>Computer equipment</w:t>
            </w:r>
          </w:p>
        </w:tc>
        <w:tc>
          <w:tcPr>
            <w:tcW w:w="2340" w:type="dxa"/>
            <w:vAlign w:val="bottom"/>
            <w:shd w:val="clear" w:color="auto" w:fill="CCEEFF"/>
          </w:tcPr>
          <w:p>
            <w:pPr>
              <w:jc w:val="center"/>
              <w:ind w:right="354"/>
              <w:spacing w:after="0"/>
              <w:rPr>
                <w:sz w:val="20"/>
                <w:szCs w:val="20"/>
                <w:color w:val="auto"/>
              </w:rPr>
            </w:pPr>
            <w:r>
              <w:rPr>
                <w:rFonts w:ascii="Arial" w:cs="Arial" w:eastAsia="Arial" w:hAnsi="Arial"/>
                <w:sz w:val="18"/>
                <w:szCs w:val="18"/>
                <w:color w:val="auto"/>
                <w:w w:val="93"/>
              </w:rPr>
              <w:t>Straight-line</w:t>
            </w:r>
          </w:p>
        </w:tc>
        <w:tc>
          <w:tcPr>
            <w:tcW w:w="2520" w:type="dxa"/>
            <w:vAlign w:val="bottom"/>
            <w:shd w:val="clear" w:color="auto" w:fill="CCEEFF"/>
          </w:tcPr>
          <w:p>
            <w:pPr>
              <w:jc w:val="center"/>
              <w:ind w:left="16"/>
              <w:spacing w:after="0"/>
              <w:rPr>
                <w:sz w:val="20"/>
                <w:szCs w:val="20"/>
                <w:color w:val="auto"/>
              </w:rPr>
            </w:pPr>
            <w:r>
              <w:rPr>
                <w:rFonts w:ascii="Arial" w:cs="Arial" w:eastAsia="Arial" w:hAnsi="Arial"/>
                <w:sz w:val="18"/>
                <w:szCs w:val="18"/>
                <w:color w:val="auto"/>
                <w:w w:val="88"/>
              </w:rPr>
              <w:t>3–5 years</w:t>
            </w:r>
          </w:p>
        </w:tc>
        <w:tc>
          <w:tcPr>
            <w:tcW w:w="0" w:type="dxa"/>
            <w:vAlign w:val="bottom"/>
          </w:tcPr>
          <w:p>
            <w:pPr>
              <w:spacing w:after="0"/>
              <w:rPr>
                <w:sz w:val="1"/>
                <w:szCs w:val="1"/>
                <w:color w:val="auto"/>
              </w:rPr>
            </w:pPr>
          </w:p>
        </w:tc>
      </w:tr>
      <w:tr>
        <w:trPr>
          <w:trHeight w:val="216"/>
        </w:trPr>
        <w:tc>
          <w:tcPr>
            <w:tcW w:w="900" w:type="dxa"/>
            <w:vAlign w:val="bottom"/>
          </w:tcPr>
          <w:p>
            <w:pPr>
              <w:spacing w:after="0"/>
              <w:rPr>
                <w:sz w:val="18"/>
                <w:szCs w:val="18"/>
                <w:color w:val="auto"/>
              </w:rPr>
            </w:pPr>
          </w:p>
        </w:tc>
        <w:tc>
          <w:tcPr>
            <w:tcW w:w="3500" w:type="dxa"/>
            <w:vAlign w:val="bottom"/>
          </w:tcPr>
          <w:p>
            <w:pPr>
              <w:spacing w:after="0"/>
              <w:rPr>
                <w:sz w:val="20"/>
                <w:szCs w:val="20"/>
                <w:color w:val="auto"/>
              </w:rPr>
            </w:pPr>
            <w:r>
              <w:rPr>
                <w:rFonts w:ascii="Arial" w:cs="Arial" w:eastAsia="Arial" w:hAnsi="Arial"/>
                <w:sz w:val="18"/>
                <w:szCs w:val="18"/>
                <w:color w:val="auto"/>
              </w:rPr>
              <w:t>Furniture and fixtures</w:t>
            </w:r>
          </w:p>
        </w:tc>
        <w:tc>
          <w:tcPr>
            <w:tcW w:w="2340" w:type="dxa"/>
            <w:vAlign w:val="bottom"/>
          </w:tcPr>
          <w:p>
            <w:pPr>
              <w:jc w:val="center"/>
              <w:ind w:right="354"/>
              <w:spacing w:after="0"/>
              <w:rPr>
                <w:sz w:val="20"/>
                <w:szCs w:val="20"/>
                <w:color w:val="auto"/>
              </w:rPr>
            </w:pPr>
            <w:r>
              <w:rPr>
                <w:rFonts w:ascii="Arial" w:cs="Arial" w:eastAsia="Arial" w:hAnsi="Arial"/>
                <w:sz w:val="18"/>
                <w:szCs w:val="18"/>
                <w:color w:val="auto"/>
                <w:w w:val="93"/>
              </w:rPr>
              <w:t>Straight-line</w:t>
            </w:r>
          </w:p>
        </w:tc>
        <w:tc>
          <w:tcPr>
            <w:tcW w:w="2520" w:type="dxa"/>
            <w:vAlign w:val="bottom"/>
          </w:tcPr>
          <w:p>
            <w:pPr>
              <w:jc w:val="center"/>
              <w:ind w:left="16"/>
              <w:spacing w:after="0"/>
              <w:rPr>
                <w:sz w:val="20"/>
                <w:szCs w:val="20"/>
                <w:color w:val="auto"/>
              </w:rPr>
            </w:pPr>
            <w:r>
              <w:rPr>
                <w:rFonts w:ascii="Arial" w:cs="Arial" w:eastAsia="Arial" w:hAnsi="Arial"/>
                <w:sz w:val="18"/>
                <w:szCs w:val="18"/>
                <w:color w:val="auto"/>
                <w:w w:val="88"/>
              </w:rPr>
              <w:t>5–7 years</w:t>
            </w:r>
          </w:p>
        </w:tc>
        <w:tc>
          <w:tcPr>
            <w:tcW w:w="0" w:type="dxa"/>
            <w:vAlign w:val="bottom"/>
          </w:tcPr>
          <w:p>
            <w:pPr>
              <w:spacing w:after="0"/>
              <w:rPr>
                <w:sz w:val="1"/>
                <w:szCs w:val="1"/>
                <w:color w:val="auto"/>
              </w:rPr>
            </w:pPr>
          </w:p>
        </w:tc>
      </w:tr>
      <w:tr>
        <w:trPr>
          <w:trHeight w:val="216"/>
        </w:trPr>
        <w:tc>
          <w:tcPr>
            <w:tcW w:w="900" w:type="dxa"/>
            <w:vAlign w:val="bottom"/>
          </w:tcPr>
          <w:p>
            <w:pPr>
              <w:spacing w:after="0"/>
              <w:rPr>
                <w:sz w:val="18"/>
                <w:szCs w:val="18"/>
                <w:color w:val="auto"/>
              </w:rPr>
            </w:pPr>
          </w:p>
        </w:tc>
        <w:tc>
          <w:tcPr>
            <w:tcW w:w="3500" w:type="dxa"/>
            <w:vAlign w:val="bottom"/>
            <w:shd w:val="clear" w:color="auto" w:fill="CCEEFF"/>
          </w:tcPr>
          <w:p>
            <w:pPr>
              <w:spacing w:after="0"/>
              <w:rPr>
                <w:sz w:val="20"/>
                <w:szCs w:val="20"/>
                <w:color w:val="auto"/>
              </w:rPr>
            </w:pPr>
            <w:r>
              <w:rPr>
                <w:rFonts w:ascii="Arial" w:cs="Arial" w:eastAsia="Arial" w:hAnsi="Arial"/>
                <w:sz w:val="18"/>
                <w:szCs w:val="18"/>
                <w:color w:val="auto"/>
              </w:rPr>
              <w:t>Office equipment</w:t>
            </w:r>
          </w:p>
        </w:tc>
        <w:tc>
          <w:tcPr>
            <w:tcW w:w="2340" w:type="dxa"/>
            <w:vAlign w:val="bottom"/>
            <w:shd w:val="clear" w:color="auto" w:fill="CCEEFF"/>
          </w:tcPr>
          <w:p>
            <w:pPr>
              <w:jc w:val="center"/>
              <w:ind w:right="354"/>
              <w:spacing w:after="0"/>
              <w:rPr>
                <w:sz w:val="20"/>
                <w:szCs w:val="20"/>
                <w:color w:val="auto"/>
              </w:rPr>
            </w:pPr>
            <w:r>
              <w:rPr>
                <w:rFonts w:ascii="Arial" w:cs="Arial" w:eastAsia="Arial" w:hAnsi="Arial"/>
                <w:sz w:val="18"/>
                <w:szCs w:val="18"/>
                <w:color w:val="auto"/>
                <w:w w:val="93"/>
              </w:rPr>
              <w:t>Straight-line</w:t>
            </w:r>
          </w:p>
        </w:tc>
        <w:tc>
          <w:tcPr>
            <w:tcW w:w="2520" w:type="dxa"/>
            <w:vAlign w:val="bottom"/>
            <w:shd w:val="clear" w:color="auto" w:fill="CCEEFF"/>
          </w:tcPr>
          <w:p>
            <w:pPr>
              <w:jc w:val="center"/>
              <w:ind w:left="16"/>
              <w:spacing w:after="0"/>
              <w:rPr>
                <w:sz w:val="20"/>
                <w:szCs w:val="20"/>
                <w:color w:val="auto"/>
              </w:rPr>
            </w:pPr>
            <w:r>
              <w:rPr>
                <w:rFonts w:ascii="Arial" w:cs="Arial" w:eastAsia="Arial" w:hAnsi="Arial"/>
                <w:sz w:val="18"/>
                <w:szCs w:val="18"/>
                <w:color w:val="auto"/>
                <w:w w:val="88"/>
              </w:rPr>
              <w:t>5–7 years</w:t>
            </w:r>
          </w:p>
        </w:tc>
        <w:tc>
          <w:tcPr>
            <w:tcW w:w="0" w:type="dxa"/>
            <w:vAlign w:val="bottom"/>
          </w:tcPr>
          <w:p>
            <w:pPr>
              <w:spacing w:after="0"/>
              <w:rPr>
                <w:sz w:val="1"/>
                <w:szCs w:val="1"/>
                <w:color w:val="auto"/>
              </w:rPr>
            </w:pPr>
          </w:p>
        </w:tc>
      </w:tr>
      <w:tr>
        <w:trPr>
          <w:trHeight w:val="230"/>
        </w:trPr>
        <w:tc>
          <w:tcPr>
            <w:tcW w:w="900" w:type="dxa"/>
            <w:vAlign w:val="bottom"/>
          </w:tcPr>
          <w:p>
            <w:pPr>
              <w:spacing w:after="0"/>
              <w:rPr>
                <w:sz w:val="20"/>
                <w:szCs w:val="20"/>
                <w:color w:val="auto"/>
              </w:rPr>
            </w:pPr>
          </w:p>
        </w:tc>
        <w:tc>
          <w:tcPr>
            <w:tcW w:w="3500" w:type="dxa"/>
            <w:vAlign w:val="bottom"/>
          </w:tcPr>
          <w:p>
            <w:pPr>
              <w:spacing w:after="0"/>
              <w:rPr>
                <w:sz w:val="20"/>
                <w:szCs w:val="20"/>
                <w:color w:val="auto"/>
              </w:rPr>
            </w:pPr>
            <w:r>
              <w:rPr>
                <w:rFonts w:ascii="Arial" w:cs="Arial" w:eastAsia="Arial" w:hAnsi="Arial"/>
                <w:sz w:val="18"/>
                <w:szCs w:val="18"/>
                <w:color w:val="auto"/>
              </w:rPr>
              <w:t>Leasehold improvements</w:t>
            </w:r>
          </w:p>
        </w:tc>
        <w:tc>
          <w:tcPr>
            <w:tcW w:w="2340" w:type="dxa"/>
            <w:vAlign w:val="bottom"/>
          </w:tcPr>
          <w:p>
            <w:pPr>
              <w:jc w:val="center"/>
              <w:ind w:right="354"/>
              <w:spacing w:after="0"/>
              <w:rPr>
                <w:sz w:val="20"/>
                <w:szCs w:val="20"/>
                <w:color w:val="auto"/>
              </w:rPr>
            </w:pPr>
            <w:r>
              <w:rPr>
                <w:rFonts w:ascii="Arial" w:cs="Arial" w:eastAsia="Arial" w:hAnsi="Arial"/>
                <w:sz w:val="18"/>
                <w:szCs w:val="18"/>
                <w:color w:val="auto"/>
                <w:w w:val="93"/>
              </w:rPr>
              <w:t>Straight-line</w:t>
            </w:r>
          </w:p>
        </w:tc>
        <w:tc>
          <w:tcPr>
            <w:tcW w:w="2520" w:type="dxa"/>
            <w:vAlign w:val="bottom"/>
          </w:tcPr>
          <w:p>
            <w:pPr>
              <w:jc w:val="right"/>
              <w:ind w:right="776"/>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310"/>
        </w:trPr>
        <w:tc>
          <w:tcPr>
            <w:tcW w:w="4400" w:type="dxa"/>
            <w:vAlign w:val="bottom"/>
            <w:gridSpan w:val="2"/>
          </w:tcPr>
          <w:p>
            <w:pPr>
              <w:spacing w:after="0"/>
              <w:rPr>
                <w:sz w:val="20"/>
                <w:szCs w:val="20"/>
                <w:color w:val="auto"/>
              </w:rPr>
            </w:pPr>
            <w:r>
              <w:rPr>
                <w:rFonts w:ascii="Arial" w:cs="Arial" w:eastAsia="Arial" w:hAnsi="Arial"/>
                <w:sz w:val="18"/>
                <w:szCs w:val="18"/>
                <w:color w:val="auto"/>
              </w:rPr>
              <w:t>(*) – Shorter of the estimated useful life or lease term.</w:t>
            </w:r>
          </w:p>
        </w:tc>
        <w:tc>
          <w:tcPr>
            <w:tcW w:w="2340" w:type="dxa"/>
            <w:vAlign w:val="bottom"/>
          </w:tcPr>
          <w:p>
            <w:pPr>
              <w:spacing w:after="0"/>
              <w:rPr>
                <w:sz w:val="24"/>
                <w:szCs w:val="24"/>
                <w:color w:val="auto"/>
              </w:rPr>
            </w:pPr>
          </w:p>
        </w:tc>
        <w:tc>
          <w:tcPr>
            <w:tcW w:w="25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306" w:lineRule="exact"/>
        <w:rPr>
          <w:sz w:val="20"/>
          <w:szCs w:val="20"/>
          <w:color w:val="auto"/>
        </w:rPr>
      </w:pPr>
    </w:p>
    <w:p>
      <w:pPr>
        <w:ind w:left="440"/>
        <w:spacing w:after="0"/>
        <w:rPr>
          <w:sz w:val="20"/>
          <w:szCs w:val="20"/>
          <w:color w:val="auto"/>
        </w:rPr>
      </w:pPr>
      <w:r>
        <w:rPr>
          <w:rFonts w:ascii="Arial" w:cs="Arial" w:eastAsia="Arial" w:hAnsi="Arial"/>
          <w:sz w:val="18"/>
          <w:szCs w:val="18"/>
          <w:b w:val="1"/>
          <w:bCs w:val="1"/>
          <w:color w:val="auto"/>
        </w:rPr>
        <w:t>Internal use Software</w:t>
      </w:r>
    </w:p>
    <w:p>
      <w:pPr>
        <w:spacing w:after="0" w:line="121" w:lineRule="exact"/>
        <w:rPr>
          <w:sz w:val="20"/>
          <w:szCs w:val="20"/>
          <w:color w:val="auto"/>
        </w:rPr>
      </w:pPr>
    </w:p>
    <w:p>
      <w:pPr>
        <w:ind w:left="440" w:right="40"/>
        <w:spacing w:after="0" w:line="277" w:lineRule="auto"/>
        <w:rPr>
          <w:sz w:val="20"/>
          <w:szCs w:val="20"/>
          <w:color w:val="auto"/>
        </w:rPr>
      </w:pPr>
      <w:r>
        <w:rPr>
          <w:rFonts w:ascii="Arial" w:cs="Arial" w:eastAsia="Arial" w:hAnsi="Arial"/>
          <w:sz w:val="18"/>
          <w:szCs w:val="18"/>
          <w:color w:val="auto"/>
        </w:rPr>
        <w:t xml:space="preserve">The Company recognizes internal use software development costs in accordance with ASC 350-40, </w:t>
      </w:r>
      <w:r>
        <w:rPr>
          <w:rFonts w:ascii="Arial" w:cs="Arial" w:eastAsia="Arial" w:hAnsi="Arial"/>
          <w:sz w:val="18"/>
          <w:szCs w:val="18"/>
          <w:i w:val="1"/>
          <w:iCs w:val="1"/>
          <w:color w:val="auto"/>
        </w:rPr>
        <w:t>Intangibles- Goodwill and Other-Internal Use</w:t>
      </w:r>
      <w:r>
        <w:rPr>
          <w:rFonts w:ascii="Arial" w:cs="Arial" w:eastAsia="Arial" w:hAnsi="Arial"/>
          <w:sz w:val="18"/>
          <w:szCs w:val="18"/>
          <w:color w:val="auto"/>
        </w:rPr>
        <w:t xml:space="preserve"> </w:t>
      </w:r>
      <w:r>
        <w:rPr>
          <w:rFonts w:ascii="Arial" w:cs="Arial" w:eastAsia="Arial" w:hAnsi="Arial"/>
          <w:sz w:val="18"/>
          <w:szCs w:val="18"/>
          <w:i w:val="1"/>
          <w:iCs w:val="1"/>
          <w:color w:val="auto"/>
        </w:rPr>
        <w:t>Software</w:t>
      </w:r>
      <w:r>
        <w:rPr>
          <w:rFonts w:ascii="Arial" w:cs="Arial" w:eastAsia="Arial" w:hAnsi="Arial"/>
          <w:sz w:val="18"/>
          <w:szCs w:val="18"/>
          <w:color w:val="auto"/>
        </w:rPr>
        <w:t>. As a result, the Company capitalizes costs incurred to develop software for internal use.</w:t>
      </w:r>
    </w:p>
    <w:p>
      <w:pPr>
        <w:spacing w:after="0" w:line="62" w:lineRule="exact"/>
        <w:rPr>
          <w:sz w:val="20"/>
          <w:szCs w:val="20"/>
          <w:color w:val="auto"/>
        </w:rPr>
      </w:pPr>
    </w:p>
    <w:p>
      <w:pPr>
        <w:ind w:left="440" w:right="100"/>
        <w:spacing w:after="0" w:line="264" w:lineRule="auto"/>
        <w:rPr>
          <w:sz w:val="20"/>
          <w:szCs w:val="20"/>
          <w:color w:val="auto"/>
        </w:rPr>
      </w:pPr>
      <w:r>
        <w:rPr>
          <w:rFonts w:ascii="Arial" w:cs="Arial" w:eastAsia="Arial" w:hAnsi="Arial"/>
          <w:sz w:val="18"/>
          <w:szCs w:val="18"/>
          <w:color w:val="auto"/>
        </w:rPr>
        <w:t>Amortization begins once the software is placed in service and is calculated using the straight-line method over the useful life, which is estimated to be three years. Capitalized internally developed software costs are included in property and equipment and the amortization is recognized in depreciation and amortization in the accompanying consolidated statements of operations.</w:t>
      </w:r>
    </w:p>
    <w:p>
      <w:pPr>
        <w:spacing w:after="0" w:line="1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020"/>
          </w:cols>
          <w:pgMar w:left="440" w:top="270" w:right="439" w:bottom="1440" w:gutter="0" w:footer="0" w:header="0"/>
        </w:sectPr>
      </w:pPr>
    </w:p>
    <w:bookmarkStart w:id="13" w:name="page14"/>
    <w:bookmarkEnd w:id="13"/>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SiriusDecisions, Inc. and Subsidiaries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March 31, 2018 and 2017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14605</wp:posOffset>
            </wp:positionV>
            <wp:extent cx="6997700" cy="88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6997700" cy="8890"/>
                    </a:xfrm>
                    <a:prstGeom prst="rect">
                      <a:avLst/>
                    </a:prstGeom>
                    <a:noFill/>
                  </pic:spPr>
                </pic:pic>
              </a:graphicData>
            </a:graphic>
          </wp:anchor>
        </w:drawing>
      </w:r>
    </w:p>
    <w:p>
      <w:pPr>
        <w:spacing w:after="0" w:line="187" w:lineRule="exact"/>
        <w:rPr>
          <w:sz w:val="20"/>
          <w:szCs w:val="20"/>
          <w:color w:val="auto"/>
        </w:rPr>
      </w:pPr>
    </w:p>
    <w:p>
      <w:pPr>
        <w:ind w:left="440"/>
        <w:spacing w:after="0"/>
        <w:rPr>
          <w:sz w:val="20"/>
          <w:szCs w:val="20"/>
          <w:color w:val="auto"/>
        </w:rPr>
      </w:pPr>
      <w:r>
        <w:rPr>
          <w:rFonts w:ascii="Arial" w:cs="Arial" w:eastAsia="Arial" w:hAnsi="Arial"/>
          <w:sz w:val="18"/>
          <w:szCs w:val="18"/>
          <w:b w:val="1"/>
          <w:bCs w:val="1"/>
          <w:color w:val="auto"/>
        </w:rPr>
        <w:t>Impairment of Long-Lived Assets</w:t>
      </w:r>
    </w:p>
    <w:p>
      <w:pPr>
        <w:spacing w:after="0" w:line="121" w:lineRule="exact"/>
        <w:rPr>
          <w:sz w:val="20"/>
          <w:szCs w:val="20"/>
          <w:color w:val="auto"/>
        </w:rPr>
      </w:pPr>
    </w:p>
    <w:p>
      <w:pPr>
        <w:ind w:left="440" w:right="20"/>
        <w:spacing w:after="0" w:line="302" w:lineRule="auto"/>
        <w:rPr>
          <w:sz w:val="20"/>
          <w:szCs w:val="20"/>
          <w:color w:val="auto"/>
        </w:rPr>
      </w:pPr>
      <w:r>
        <w:rPr>
          <w:rFonts w:ascii="Arial" w:cs="Arial" w:eastAsia="Arial" w:hAnsi="Arial"/>
          <w:sz w:val="16"/>
          <w:szCs w:val="16"/>
          <w:color w:val="auto"/>
        </w:rPr>
        <w:t>The Company assesses the impairment of its long-lived assets whenever events or changes in circumstances indicate that the carrying value of the assets may not be recoverable. Long-lived assets are considered to be impaired when the sum of the expected future operating cash flows, undiscounted, is less than the carrying value of the related assets. If impairment is identified, the Company will reduce the carrying value of the assets to fair value based on the expected discounted cash flows. There were no such impairments as of March 31, 2018 and 2017.</w:t>
      </w:r>
    </w:p>
    <w:p>
      <w:pPr>
        <w:spacing w:after="0" w:line="258" w:lineRule="exact"/>
        <w:rPr>
          <w:sz w:val="20"/>
          <w:szCs w:val="20"/>
          <w:color w:val="auto"/>
        </w:rPr>
      </w:pPr>
    </w:p>
    <w:p>
      <w:pPr>
        <w:ind w:left="440"/>
        <w:spacing w:after="0"/>
        <w:rPr>
          <w:sz w:val="20"/>
          <w:szCs w:val="20"/>
          <w:color w:val="auto"/>
        </w:rPr>
      </w:pPr>
      <w:r>
        <w:rPr>
          <w:rFonts w:ascii="Arial" w:cs="Arial" w:eastAsia="Arial" w:hAnsi="Arial"/>
          <w:sz w:val="18"/>
          <w:szCs w:val="18"/>
          <w:b w:val="1"/>
          <w:bCs w:val="1"/>
          <w:color w:val="auto"/>
        </w:rPr>
        <w:t>Income Taxes</w:t>
      </w:r>
    </w:p>
    <w:p>
      <w:pPr>
        <w:spacing w:after="0" w:line="121" w:lineRule="exact"/>
        <w:rPr>
          <w:sz w:val="20"/>
          <w:szCs w:val="20"/>
          <w:color w:val="auto"/>
        </w:rPr>
      </w:pPr>
    </w:p>
    <w:p>
      <w:pPr>
        <w:ind w:left="440" w:right="500"/>
        <w:spacing w:after="0" w:line="302" w:lineRule="auto"/>
        <w:rPr>
          <w:sz w:val="20"/>
          <w:szCs w:val="20"/>
          <w:color w:val="auto"/>
        </w:rPr>
      </w:pPr>
      <w:r>
        <w:rPr>
          <w:rFonts w:ascii="Arial" w:cs="Arial" w:eastAsia="Arial" w:hAnsi="Arial"/>
          <w:sz w:val="16"/>
          <w:szCs w:val="16"/>
          <w:color w:val="auto"/>
        </w:rPr>
        <w:t xml:space="preserve">The Company provides for deferred income taxes in accordance with ASC Topic 740, </w:t>
      </w:r>
      <w:r>
        <w:rPr>
          <w:rFonts w:ascii="Arial" w:cs="Arial" w:eastAsia="Arial" w:hAnsi="Arial"/>
          <w:sz w:val="16"/>
          <w:szCs w:val="16"/>
          <w:i w:val="1"/>
          <w:iCs w:val="1"/>
          <w:color w:val="auto"/>
        </w:rPr>
        <w:t>Income Taxes,</w:t>
      </w:r>
      <w:r>
        <w:rPr>
          <w:rFonts w:ascii="Arial" w:cs="Arial" w:eastAsia="Arial" w:hAnsi="Arial"/>
          <w:sz w:val="16"/>
          <w:szCs w:val="16"/>
          <w:color w:val="auto"/>
        </w:rPr>
        <w:t xml:space="preserve"> which requires deferred tax assets and liabilities to be recognized for the future tax consequences attributable to net operating loss carryforwards and for differences between the financial statement carrying amounts and the respective tax bases of assets and liabilities. Deferred tax assets are reduced if necessary by a valuation allowance if it is more likely than not that some portion or all of the deferred tax assets will not be realized.</w:t>
      </w:r>
    </w:p>
    <w:p>
      <w:pPr>
        <w:spacing w:after="0" w:line="46" w:lineRule="exact"/>
        <w:rPr>
          <w:sz w:val="20"/>
          <w:szCs w:val="20"/>
          <w:color w:val="auto"/>
        </w:rPr>
      </w:pPr>
    </w:p>
    <w:p>
      <w:pPr>
        <w:ind w:left="440"/>
        <w:spacing w:after="0" w:line="291" w:lineRule="auto"/>
        <w:rPr>
          <w:sz w:val="20"/>
          <w:szCs w:val="20"/>
          <w:color w:val="auto"/>
        </w:rPr>
      </w:pPr>
      <w:r>
        <w:rPr>
          <w:rFonts w:ascii="Arial" w:cs="Arial" w:eastAsia="Arial" w:hAnsi="Arial"/>
          <w:sz w:val="16"/>
          <w:szCs w:val="16"/>
          <w:color w:val="auto"/>
        </w:rPr>
        <w:t xml:space="preserve">The Company also follows the FASB issued ASC Topic 740-10, </w:t>
      </w:r>
      <w:r>
        <w:rPr>
          <w:rFonts w:ascii="Arial" w:cs="Arial" w:eastAsia="Arial" w:hAnsi="Arial"/>
          <w:sz w:val="16"/>
          <w:szCs w:val="16"/>
          <w:i w:val="1"/>
          <w:iCs w:val="1"/>
          <w:color w:val="auto"/>
        </w:rPr>
        <w:t>Uncertainty in Income Taxes</w:t>
      </w:r>
      <w:r>
        <w:rPr>
          <w:rFonts w:ascii="Arial" w:cs="Arial" w:eastAsia="Arial" w:hAnsi="Arial"/>
          <w:sz w:val="16"/>
          <w:szCs w:val="16"/>
          <w:color w:val="auto"/>
        </w:rPr>
        <w:t>. This Topic prescribes a recognition threshold and measurement attribute for the financial statement recognition and measurement of a tax position taken or expected to be taken in a tax return. This Topic also provides guidance on de-recognition, classification, interest and penalties, accounting in interim periods, disclosure, and transition. The Company recognizes tax benefits or expenses of uncertain tax positions in the year such determination is made when the position is “more likely than not” to be sustained assuming examination by tax authorities. The Company accrues interest and penalties associated with uncertain tax positions, if any, as part of the income tax provision. Management has reviewed the Company’s tax positions for all open tax years and concluded that no provision for unrecognized tax benefits or expense is required in these consolidated financial statements.</w:t>
      </w:r>
    </w:p>
    <w:p>
      <w:pPr>
        <w:spacing w:after="0" w:line="59" w:lineRule="exact"/>
        <w:rPr>
          <w:sz w:val="20"/>
          <w:szCs w:val="20"/>
          <w:color w:val="auto"/>
        </w:rPr>
      </w:pPr>
    </w:p>
    <w:p>
      <w:pPr>
        <w:jc w:val="both"/>
        <w:ind w:left="440" w:right="100"/>
        <w:spacing w:after="0" w:line="264" w:lineRule="auto"/>
        <w:rPr>
          <w:sz w:val="20"/>
          <w:szCs w:val="20"/>
          <w:color w:val="auto"/>
        </w:rPr>
      </w:pPr>
      <w:r>
        <w:rPr>
          <w:rFonts w:ascii="Arial" w:cs="Arial" w:eastAsia="Arial" w:hAnsi="Arial"/>
          <w:sz w:val="18"/>
          <w:szCs w:val="18"/>
          <w:color w:val="auto"/>
        </w:rPr>
        <w:t>Management evaluates the tax positions taken or expected to be taken in the course of preparing the Company’s tax returns to determine whether the tax positions are more likely than not to be sustained upon examination by the applicable tax authorities. Management further believes that it has not taken tax positions that are not likely to be sustained by such tax authorities.</w:t>
      </w:r>
    </w:p>
    <w:p>
      <w:pPr>
        <w:spacing w:after="0" w:line="285" w:lineRule="exact"/>
        <w:rPr>
          <w:sz w:val="20"/>
          <w:szCs w:val="20"/>
          <w:color w:val="auto"/>
        </w:rPr>
      </w:pPr>
    </w:p>
    <w:p>
      <w:pPr>
        <w:ind w:left="440"/>
        <w:spacing w:after="0"/>
        <w:rPr>
          <w:sz w:val="20"/>
          <w:szCs w:val="20"/>
          <w:color w:val="auto"/>
        </w:rPr>
      </w:pPr>
      <w:r>
        <w:rPr>
          <w:rFonts w:ascii="Arial" w:cs="Arial" w:eastAsia="Arial" w:hAnsi="Arial"/>
          <w:sz w:val="18"/>
          <w:szCs w:val="18"/>
          <w:b w:val="1"/>
          <w:bCs w:val="1"/>
          <w:color w:val="auto"/>
        </w:rPr>
        <w:t>Stock-Based Compensation</w:t>
      </w:r>
    </w:p>
    <w:p>
      <w:pPr>
        <w:spacing w:after="0" w:line="121" w:lineRule="exact"/>
        <w:rPr>
          <w:sz w:val="20"/>
          <w:szCs w:val="20"/>
          <w:color w:val="auto"/>
        </w:rPr>
      </w:pPr>
    </w:p>
    <w:p>
      <w:pPr>
        <w:jc w:val="both"/>
        <w:ind w:left="440" w:right="160"/>
        <w:spacing w:after="0" w:line="286" w:lineRule="auto"/>
        <w:rPr>
          <w:sz w:val="20"/>
          <w:szCs w:val="20"/>
          <w:color w:val="auto"/>
        </w:rPr>
      </w:pPr>
      <w:r>
        <w:rPr>
          <w:rFonts w:ascii="Arial" w:cs="Arial" w:eastAsia="Arial" w:hAnsi="Arial"/>
          <w:sz w:val="17"/>
          <w:szCs w:val="17"/>
          <w:color w:val="auto"/>
        </w:rPr>
        <w:t xml:space="preserve">ASC 718, </w:t>
      </w:r>
      <w:r>
        <w:rPr>
          <w:rFonts w:ascii="Arial" w:cs="Arial" w:eastAsia="Arial" w:hAnsi="Arial"/>
          <w:sz w:val="17"/>
          <w:szCs w:val="17"/>
          <w:i w:val="1"/>
          <w:iCs w:val="1"/>
          <w:color w:val="auto"/>
        </w:rPr>
        <w:t>Compensation—Stock Compensation</w:t>
      </w:r>
      <w:r>
        <w:rPr>
          <w:rFonts w:ascii="Arial" w:cs="Arial" w:eastAsia="Arial" w:hAnsi="Arial"/>
          <w:sz w:val="17"/>
          <w:szCs w:val="17"/>
          <w:color w:val="auto"/>
        </w:rPr>
        <w:t>, requires the cost of all share-based payments to employees, including grants of employee stock options, to be recognized in the financial statements based on the grant date fair value of those awards. In accordance with ASC 718, this cost is recognized over the period for which an employee is required to provide service in exchange for the award.</w:t>
      </w:r>
    </w:p>
    <w:p>
      <w:pPr>
        <w:spacing w:after="0" w:line="57" w:lineRule="exact"/>
        <w:rPr>
          <w:sz w:val="20"/>
          <w:szCs w:val="20"/>
          <w:color w:val="auto"/>
        </w:rPr>
      </w:pPr>
    </w:p>
    <w:p>
      <w:pPr>
        <w:ind w:left="440" w:right="120"/>
        <w:spacing w:after="0" w:line="302" w:lineRule="auto"/>
        <w:rPr>
          <w:sz w:val="20"/>
          <w:szCs w:val="20"/>
          <w:color w:val="auto"/>
        </w:rPr>
      </w:pPr>
      <w:r>
        <w:rPr>
          <w:rFonts w:ascii="Arial" w:cs="Arial" w:eastAsia="Arial" w:hAnsi="Arial"/>
          <w:sz w:val="16"/>
          <w:szCs w:val="16"/>
          <w:color w:val="auto"/>
        </w:rPr>
        <w:t>The Company estimates the fair value of options granted using the Black-Scholes option pricing model. The estimation of stock awards that will ultimately vest requires judgment, and to the extent actual results differ from the Company’s estimates, such amounts will be recorded as an adjustment in the period estimates are revised. In valuing share-based awards, significant judgment is required in determining the expected volatility of common stock and the expected term individuals will hold their share-based awards prior to exercising.</w:t>
      </w:r>
    </w:p>
    <w:p>
      <w:pPr>
        <w:spacing w:after="0" w:line="258" w:lineRule="exact"/>
        <w:rPr>
          <w:sz w:val="20"/>
          <w:szCs w:val="20"/>
          <w:color w:val="auto"/>
        </w:rPr>
      </w:pPr>
    </w:p>
    <w:p>
      <w:pPr>
        <w:ind w:left="440"/>
        <w:spacing w:after="0"/>
        <w:rPr>
          <w:sz w:val="20"/>
          <w:szCs w:val="20"/>
          <w:color w:val="auto"/>
        </w:rPr>
      </w:pPr>
      <w:r>
        <w:rPr>
          <w:rFonts w:ascii="Arial" w:cs="Arial" w:eastAsia="Arial" w:hAnsi="Arial"/>
          <w:sz w:val="18"/>
          <w:szCs w:val="18"/>
          <w:b w:val="1"/>
          <w:bCs w:val="1"/>
          <w:color w:val="auto"/>
        </w:rPr>
        <w:t>Foreign Currency Translation and Transactions</w:t>
      </w:r>
    </w:p>
    <w:p>
      <w:pPr>
        <w:spacing w:after="0" w:line="121" w:lineRule="exact"/>
        <w:rPr>
          <w:sz w:val="20"/>
          <w:szCs w:val="20"/>
          <w:color w:val="auto"/>
        </w:rPr>
      </w:pPr>
    </w:p>
    <w:p>
      <w:pPr>
        <w:ind w:left="440" w:right="120"/>
        <w:spacing w:after="0" w:line="342" w:lineRule="auto"/>
        <w:rPr>
          <w:sz w:val="20"/>
          <w:szCs w:val="20"/>
          <w:color w:val="auto"/>
        </w:rPr>
      </w:pPr>
      <w:r>
        <w:rPr>
          <w:rFonts w:ascii="Arial" w:cs="Arial" w:eastAsia="Arial" w:hAnsi="Arial"/>
          <w:sz w:val="16"/>
          <w:szCs w:val="16"/>
          <w:color w:val="auto"/>
        </w:rPr>
        <w:t>Assets and liabilities of the Company’s United Kingdom subsidiary, whose functional currency is the Great Britain Pound, are translated at year-end rates of exchange, and the statements of operations are translated at the average rates of exchange for the year. Gains or losses resulting</w:t>
      </w:r>
    </w:p>
    <w:p>
      <w:pPr>
        <w:spacing w:after="0" w:line="5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0980"/>
          </w:cols>
          <w:pgMar w:left="440" w:top="270" w:right="479" w:bottom="1440" w:gutter="0" w:footer="0" w:header="0"/>
        </w:sectPr>
      </w:pPr>
    </w:p>
    <w:bookmarkStart w:id="14" w:name="page15"/>
    <w:bookmarkEnd w:id="14"/>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SiriusDecisions, Inc. and Subsidiaries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March 31, 2018 and 2017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14605</wp:posOffset>
            </wp:positionV>
            <wp:extent cx="6997700" cy="88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6997700" cy="8890"/>
                    </a:xfrm>
                    <a:prstGeom prst="rect">
                      <a:avLst/>
                    </a:prstGeom>
                    <a:noFill/>
                  </pic:spPr>
                </pic:pic>
              </a:graphicData>
            </a:graphic>
          </wp:anchor>
        </w:drawing>
      </w:r>
    </w:p>
    <w:p>
      <w:pPr>
        <w:spacing w:after="0" w:line="191" w:lineRule="exact"/>
        <w:rPr>
          <w:sz w:val="20"/>
          <w:szCs w:val="20"/>
          <w:color w:val="auto"/>
        </w:rPr>
      </w:pPr>
    </w:p>
    <w:p>
      <w:pPr>
        <w:jc w:val="both"/>
        <w:ind w:left="440" w:right="100"/>
        <w:spacing w:after="0" w:line="264" w:lineRule="auto"/>
        <w:rPr>
          <w:sz w:val="20"/>
          <w:szCs w:val="20"/>
          <w:color w:val="auto"/>
        </w:rPr>
      </w:pPr>
      <w:r>
        <w:rPr>
          <w:rFonts w:ascii="Arial" w:cs="Arial" w:eastAsia="Arial" w:hAnsi="Arial"/>
          <w:sz w:val="18"/>
          <w:szCs w:val="18"/>
          <w:color w:val="auto"/>
        </w:rPr>
        <w:t>from translating foreign currency financial statements are accumulated in a separate component of stockholders’ deficiency. Gains or losses from foreign currency transactions (transactions denominated in a currency other than the entity’s local currency) are included in net loss and were not significant.</w:t>
      </w:r>
    </w:p>
    <w:p>
      <w:pPr>
        <w:spacing w:after="0" w:line="285" w:lineRule="exact"/>
        <w:rPr>
          <w:sz w:val="20"/>
          <w:szCs w:val="20"/>
          <w:color w:val="auto"/>
        </w:rPr>
      </w:pPr>
    </w:p>
    <w:p>
      <w:pPr>
        <w:ind w:left="440"/>
        <w:spacing w:after="0"/>
        <w:rPr>
          <w:sz w:val="20"/>
          <w:szCs w:val="20"/>
          <w:color w:val="auto"/>
        </w:rPr>
      </w:pPr>
      <w:r>
        <w:rPr>
          <w:rFonts w:ascii="Arial" w:cs="Arial" w:eastAsia="Arial" w:hAnsi="Arial"/>
          <w:sz w:val="18"/>
          <w:szCs w:val="18"/>
          <w:b w:val="1"/>
          <w:bCs w:val="1"/>
          <w:color w:val="auto"/>
        </w:rPr>
        <w:t>Advertising Costs</w:t>
      </w:r>
    </w:p>
    <w:p>
      <w:pPr>
        <w:spacing w:after="0" w:line="121" w:lineRule="exact"/>
        <w:rPr>
          <w:sz w:val="20"/>
          <w:szCs w:val="20"/>
          <w:color w:val="auto"/>
        </w:rPr>
      </w:pPr>
    </w:p>
    <w:p>
      <w:pPr>
        <w:ind w:left="440"/>
        <w:spacing w:after="0" w:line="277" w:lineRule="auto"/>
        <w:rPr>
          <w:sz w:val="20"/>
          <w:szCs w:val="20"/>
          <w:color w:val="auto"/>
        </w:rPr>
      </w:pPr>
      <w:r>
        <w:rPr>
          <w:rFonts w:ascii="Arial" w:cs="Arial" w:eastAsia="Arial" w:hAnsi="Arial"/>
          <w:sz w:val="18"/>
          <w:szCs w:val="18"/>
          <w:color w:val="auto"/>
        </w:rPr>
        <w:t>Advertising costs are expensed as incurred. Advertising and marketing costs were $637,908 and $787,481 for the years ended March 31, 2018 and 2017, respectively.</w:t>
      </w:r>
    </w:p>
    <w:p>
      <w:pPr>
        <w:spacing w:after="0" w:line="275" w:lineRule="exact"/>
        <w:rPr>
          <w:sz w:val="20"/>
          <w:szCs w:val="20"/>
          <w:color w:val="auto"/>
        </w:rPr>
      </w:pPr>
    </w:p>
    <w:p>
      <w:pPr>
        <w:ind w:left="440"/>
        <w:spacing w:after="0"/>
        <w:rPr>
          <w:sz w:val="20"/>
          <w:szCs w:val="20"/>
          <w:color w:val="auto"/>
        </w:rPr>
      </w:pPr>
      <w:r>
        <w:rPr>
          <w:rFonts w:ascii="Arial" w:cs="Arial" w:eastAsia="Arial" w:hAnsi="Arial"/>
          <w:sz w:val="18"/>
          <w:szCs w:val="18"/>
          <w:b w:val="1"/>
          <w:bCs w:val="1"/>
          <w:color w:val="auto"/>
        </w:rPr>
        <w:t>Financial Instruments</w:t>
      </w:r>
    </w:p>
    <w:p>
      <w:pPr>
        <w:spacing w:after="0" w:line="121" w:lineRule="exact"/>
        <w:rPr>
          <w:sz w:val="20"/>
          <w:szCs w:val="20"/>
          <w:color w:val="auto"/>
        </w:rPr>
      </w:pPr>
    </w:p>
    <w:p>
      <w:pPr>
        <w:ind w:left="440" w:right="20"/>
        <w:spacing w:after="0" w:line="264" w:lineRule="auto"/>
        <w:rPr>
          <w:sz w:val="20"/>
          <w:szCs w:val="20"/>
          <w:color w:val="auto"/>
        </w:rPr>
      </w:pPr>
      <w:r>
        <w:rPr>
          <w:rFonts w:ascii="Arial" w:cs="Arial" w:eastAsia="Arial" w:hAnsi="Arial"/>
          <w:sz w:val="18"/>
          <w:szCs w:val="18"/>
          <w:color w:val="auto"/>
        </w:rPr>
        <w:t>The Company’s financial instruments, including cash, accounts receivable, prepaid expenses, accounts payable and accrued expenses are reflected in the accompanying consolidated financial statements at carrying value, which approximates fair value because of the short-term maturity of these instruments.</w:t>
      </w:r>
    </w:p>
    <w:p>
      <w:pPr>
        <w:spacing w:after="0" w:line="285" w:lineRule="exact"/>
        <w:rPr>
          <w:sz w:val="20"/>
          <w:szCs w:val="20"/>
          <w:color w:val="auto"/>
        </w:rPr>
      </w:pPr>
    </w:p>
    <w:p>
      <w:pPr>
        <w:ind w:left="440"/>
        <w:spacing w:after="0"/>
        <w:rPr>
          <w:sz w:val="20"/>
          <w:szCs w:val="20"/>
          <w:color w:val="auto"/>
        </w:rPr>
      </w:pPr>
      <w:r>
        <w:rPr>
          <w:rFonts w:ascii="Arial" w:cs="Arial" w:eastAsia="Arial" w:hAnsi="Arial"/>
          <w:sz w:val="18"/>
          <w:szCs w:val="18"/>
          <w:b w:val="1"/>
          <w:bCs w:val="1"/>
          <w:color w:val="auto"/>
        </w:rPr>
        <w:t>Recent Accounting Pronouncements</w:t>
      </w:r>
    </w:p>
    <w:p>
      <w:pPr>
        <w:spacing w:after="0" w:line="121" w:lineRule="exact"/>
        <w:rPr>
          <w:sz w:val="20"/>
          <w:szCs w:val="20"/>
          <w:color w:val="auto"/>
        </w:rPr>
      </w:pPr>
    </w:p>
    <w:p>
      <w:pPr>
        <w:ind w:left="440" w:right="20"/>
        <w:spacing w:after="0" w:line="286" w:lineRule="auto"/>
        <w:rPr>
          <w:sz w:val="20"/>
          <w:szCs w:val="20"/>
          <w:color w:val="auto"/>
        </w:rPr>
      </w:pPr>
      <w:r>
        <w:rPr>
          <w:rFonts w:ascii="Arial" w:cs="Arial" w:eastAsia="Arial" w:hAnsi="Arial"/>
          <w:sz w:val="16"/>
          <w:szCs w:val="16"/>
          <w:color w:val="auto"/>
        </w:rPr>
        <w:t xml:space="preserve">In May 2014, the FASB issued Accounting Standards Update (“ASU”) 2014-09, </w:t>
      </w:r>
      <w:r>
        <w:rPr>
          <w:rFonts w:ascii="Arial" w:cs="Arial" w:eastAsia="Arial" w:hAnsi="Arial"/>
          <w:sz w:val="16"/>
          <w:szCs w:val="16"/>
          <w:i w:val="1"/>
          <w:iCs w:val="1"/>
          <w:color w:val="auto"/>
        </w:rPr>
        <w:t>Revenue from Contracts with Customers</w:t>
      </w:r>
      <w:r>
        <w:rPr>
          <w:rFonts w:ascii="Arial" w:cs="Arial" w:eastAsia="Arial" w:hAnsi="Arial"/>
          <w:sz w:val="16"/>
          <w:szCs w:val="16"/>
          <w:color w:val="auto"/>
        </w:rPr>
        <w:t>, which requires that an entity recognize the amount of revenue to which it expects to be entitled for the transfer of promised goods or services to its customers. In order to achieve this core principle, an entity should apply the following steps (1) identify the contract(s) with a customer; (2) identify the performance obligations in the contract; (3) determine the transaction price; (4) allocate the transaction price to the performance obligations in the contract; and</w:t>
      </w:r>
    </w:p>
    <w:p>
      <w:pPr>
        <w:spacing w:after="0" w:line="2" w:lineRule="exact"/>
        <w:rPr>
          <w:sz w:val="20"/>
          <w:szCs w:val="20"/>
          <w:color w:val="auto"/>
        </w:rPr>
      </w:pPr>
    </w:p>
    <w:p>
      <w:pPr>
        <w:jc w:val="both"/>
        <w:ind w:left="440" w:right="220" w:firstLine="4"/>
        <w:spacing w:after="0" w:line="254" w:lineRule="auto"/>
        <w:tabs>
          <w:tab w:leader="none" w:pos="695" w:val="left"/>
        </w:tabs>
        <w:numPr>
          <w:ilvl w:val="0"/>
          <w:numId w:val="6"/>
        </w:numPr>
        <w:rPr>
          <w:rFonts w:ascii="Arial" w:cs="Arial" w:eastAsia="Arial" w:hAnsi="Arial"/>
          <w:sz w:val="18"/>
          <w:szCs w:val="18"/>
          <w:color w:val="auto"/>
        </w:rPr>
      </w:pPr>
      <w:r>
        <w:rPr>
          <w:rFonts w:ascii="Arial" w:cs="Arial" w:eastAsia="Arial" w:hAnsi="Arial"/>
          <w:sz w:val="18"/>
          <w:szCs w:val="18"/>
          <w:color w:val="auto"/>
        </w:rPr>
        <w:t>recognize revenue when (or as) the entity satisfies a performance obligation. This update will replace existing revenue recognition guidance under GAAP when it becomes effective for the Company beginning April 1, 2019, with certain early adoption permitted. The updated standard will permit the use of either the retrospective or cumulative effect transition method. The Company is currently evaluating the impact of this update on its consolidated financial statements.</w:t>
      </w:r>
    </w:p>
    <w:p>
      <w:pPr>
        <w:spacing w:after="0" w:line="82" w:lineRule="exact"/>
        <w:rPr>
          <w:sz w:val="20"/>
          <w:szCs w:val="20"/>
          <w:color w:val="auto"/>
        </w:rPr>
      </w:pPr>
    </w:p>
    <w:p>
      <w:pPr>
        <w:ind w:left="440"/>
        <w:spacing w:after="0" w:line="254" w:lineRule="auto"/>
        <w:rPr>
          <w:sz w:val="20"/>
          <w:szCs w:val="20"/>
          <w:color w:val="auto"/>
        </w:rPr>
      </w:pPr>
      <w:r>
        <w:rPr>
          <w:rFonts w:ascii="Arial" w:cs="Arial" w:eastAsia="Arial" w:hAnsi="Arial"/>
          <w:sz w:val="18"/>
          <w:szCs w:val="18"/>
          <w:color w:val="auto"/>
        </w:rPr>
        <w:t xml:space="preserve">In April 2016, the FASB issued ASU 2016-10, </w:t>
      </w:r>
      <w:r>
        <w:rPr>
          <w:rFonts w:ascii="Arial" w:cs="Arial" w:eastAsia="Arial" w:hAnsi="Arial"/>
          <w:sz w:val="18"/>
          <w:szCs w:val="18"/>
          <w:i w:val="1"/>
          <w:iCs w:val="1"/>
          <w:color w:val="auto"/>
        </w:rPr>
        <w:t>Revenue from Contracts with Customers: Identifying Performance Obligations and Licensing.</w:t>
      </w:r>
      <w:r>
        <w:rPr>
          <w:rFonts w:ascii="Arial" w:cs="Arial" w:eastAsia="Arial" w:hAnsi="Arial"/>
          <w:sz w:val="18"/>
          <w:szCs w:val="18"/>
          <w:color w:val="auto"/>
        </w:rPr>
        <w:t xml:space="preserve"> This ASU was made in response to an issue communicated by the Transition Resource Group for Revenue Recognition (the TRG), a group which was formed by the FASB and the International Accounting Standards Board (IASB), (collectively, the Boards), whose objective is to inform the Boards of any issues that could arise with the implementation of a converged standard on recognition of revenue from contracts with customers. ASU 2016-10 does not change the core principal of the guidance in Topic 606, but adds clarification around identifying performance obligations and licensing. The amendments in this update affect the guidance in ASU 2014-09, </w:t>
      </w:r>
      <w:r>
        <w:rPr>
          <w:rFonts w:ascii="Arial" w:cs="Arial" w:eastAsia="Arial" w:hAnsi="Arial"/>
          <w:sz w:val="18"/>
          <w:szCs w:val="18"/>
          <w:i w:val="1"/>
          <w:iCs w:val="1"/>
          <w:color w:val="auto"/>
        </w:rPr>
        <w:t>Contracts with Customers</w:t>
      </w:r>
      <w:r>
        <w:rPr>
          <w:rFonts w:ascii="Arial" w:cs="Arial" w:eastAsia="Arial" w:hAnsi="Arial"/>
          <w:sz w:val="18"/>
          <w:szCs w:val="18"/>
          <w:color w:val="auto"/>
        </w:rPr>
        <w:t xml:space="preserve"> (Topic 606), which is not yet effective, and therefore follow the same effective date and transition requirements. Management is assessing the impact of adoption on the consolidated financial statements.</w:t>
      </w:r>
    </w:p>
    <w:p>
      <w:pPr>
        <w:spacing w:after="0" w:line="84" w:lineRule="exact"/>
        <w:rPr>
          <w:sz w:val="20"/>
          <w:szCs w:val="20"/>
          <w:color w:val="auto"/>
        </w:rPr>
      </w:pPr>
    </w:p>
    <w:p>
      <w:pPr>
        <w:ind w:left="440"/>
        <w:spacing w:after="0" w:line="302" w:lineRule="auto"/>
        <w:rPr>
          <w:sz w:val="20"/>
          <w:szCs w:val="20"/>
          <w:color w:val="auto"/>
        </w:rPr>
      </w:pPr>
      <w:r>
        <w:rPr>
          <w:rFonts w:ascii="Arial" w:cs="Arial" w:eastAsia="Arial" w:hAnsi="Arial"/>
          <w:sz w:val="16"/>
          <w:szCs w:val="16"/>
          <w:color w:val="auto"/>
        </w:rPr>
        <w:t xml:space="preserve">In May 2016, the FASB issued ASU 2016-12, </w:t>
      </w:r>
      <w:r>
        <w:rPr>
          <w:rFonts w:ascii="Arial" w:cs="Arial" w:eastAsia="Arial" w:hAnsi="Arial"/>
          <w:sz w:val="16"/>
          <w:szCs w:val="16"/>
          <w:i w:val="1"/>
          <w:iCs w:val="1"/>
          <w:color w:val="auto"/>
        </w:rPr>
        <w:t>Revenue from Contracts with Customers: Narrow-Scope Improvements and Practical Expedients.</w:t>
      </w:r>
      <w:r>
        <w:rPr>
          <w:rFonts w:ascii="Arial" w:cs="Arial" w:eastAsia="Arial" w:hAnsi="Arial"/>
          <w:sz w:val="16"/>
          <w:szCs w:val="16"/>
          <w:color w:val="auto"/>
        </w:rPr>
        <w:t xml:space="preserve"> This ASU amends certain aspects of the Board’s new revenue standard, ASU 2014-09. The amendments include the collectability of revenue, presentation of sales tax and other similar taxes collected from customers, contracts containing noncash considerations, and contract modifications and completed contracts at transition. Management is assessing the impact of adoption on the consolidated financial statements.</w:t>
      </w:r>
    </w:p>
    <w:p>
      <w:pPr>
        <w:spacing w:after="0" w:line="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000"/>
          </w:cols>
          <w:pgMar w:left="440" w:top="270" w:right="459" w:bottom="1440" w:gutter="0" w:footer="0" w:header="0"/>
        </w:sectPr>
      </w:pPr>
    </w:p>
    <w:bookmarkStart w:id="15" w:name="page16"/>
    <w:bookmarkEnd w:id="15"/>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SiriusDecisions, Inc. and Subsidiaries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March 31, 2018 and 2017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14605</wp:posOffset>
            </wp:positionV>
            <wp:extent cx="6997700" cy="88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6997700" cy="8890"/>
                    </a:xfrm>
                    <a:prstGeom prst="rect">
                      <a:avLst/>
                    </a:prstGeom>
                    <a:noFill/>
                  </pic:spPr>
                </pic:pic>
              </a:graphicData>
            </a:graphic>
          </wp:anchor>
        </w:drawing>
      </w:r>
    </w:p>
    <w:p>
      <w:pPr>
        <w:spacing w:after="0" w:line="191" w:lineRule="exact"/>
        <w:rPr>
          <w:sz w:val="20"/>
          <w:szCs w:val="20"/>
          <w:color w:val="auto"/>
        </w:rPr>
      </w:pPr>
    </w:p>
    <w:p>
      <w:pPr>
        <w:ind w:left="440" w:right="60"/>
        <w:spacing w:after="0" w:line="293" w:lineRule="auto"/>
        <w:rPr>
          <w:sz w:val="20"/>
          <w:szCs w:val="20"/>
          <w:color w:val="auto"/>
        </w:rPr>
      </w:pPr>
      <w:r>
        <w:rPr>
          <w:rFonts w:ascii="Arial" w:cs="Arial" w:eastAsia="Arial" w:hAnsi="Arial"/>
          <w:sz w:val="16"/>
          <w:szCs w:val="16"/>
          <w:color w:val="auto"/>
        </w:rPr>
        <w:t xml:space="preserve">In November 2015, the FASB issued ASU No. 2015-17, </w:t>
      </w:r>
      <w:r>
        <w:rPr>
          <w:rFonts w:ascii="Arial" w:cs="Arial" w:eastAsia="Arial" w:hAnsi="Arial"/>
          <w:sz w:val="16"/>
          <w:szCs w:val="16"/>
          <w:i w:val="1"/>
          <w:iCs w:val="1"/>
          <w:color w:val="auto"/>
        </w:rPr>
        <w:t>Income Taxes</w:t>
      </w:r>
      <w:r>
        <w:rPr>
          <w:rFonts w:ascii="Arial" w:cs="Arial" w:eastAsia="Arial" w:hAnsi="Arial"/>
          <w:sz w:val="16"/>
          <w:szCs w:val="16"/>
          <w:color w:val="auto"/>
        </w:rPr>
        <w:t xml:space="preserve"> (Topic 740) Balance Sheet Classification of Deferred Taxes. ASU 2015-17 simplifies the presentation of deferred income taxes by eliminating the separate classification of deferred income tax liabilities and assets into current and noncurrent amounts in the consolidated balance sheet statement of financial position. The amendments in the update require that all deferred tax liabilities and assets be classified as noncurrent in the consolidated balance sheet. The amendments in this update are effective for annual periods beginning after December 15, 2016, and interim periods therein and may be applied either prospectively or retrospectively to all periods presented. The adoption of this guidance does not have a significant impact on the company’s consolidated financial statements.</w:t>
      </w:r>
    </w:p>
    <w:p>
      <w:pPr>
        <w:spacing w:after="0" w:line="57" w:lineRule="exact"/>
        <w:rPr>
          <w:sz w:val="20"/>
          <w:szCs w:val="20"/>
          <w:color w:val="auto"/>
        </w:rPr>
      </w:pPr>
    </w:p>
    <w:p>
      <w:pPr>
        <w:ind w:left="440" w:right="20"/>
        <w:spacing w:after="0" w:line="302" w:lineRule="auto"/>
        <w:rPr>
          <w:sz w:val="20"/>
          <w:szCs w:val="20"/>
          <w:color w:val="auto"/>
        </w:rPr>
      </w:pPr>
      <w:r>
        <w:rPr>
          <w:rFonts w:ascii="Arial" w:cs="Arial" w:eastAsia="Arial" w:hAnsi="Arial"/>
          <w:sz w:val="16"/>
          <w:szCs w:val="16"/>
          <w:color w:val="auto"/>
        </w:rPr>
        <w:t xml:space="preserve">In February 2016, the FASB issued ASU No. 2016-02, </w:t>
      </w:r>
      <w:r>
        <w:rPr>
          <w:rFonts w:ascii="Arial" w:cs="Arial" w:eastAsia="Arial" w:hAnsi="Arial"/>
          <w:sz w:val="16"/>
          <w:szCs w:val="16"/>
          <w:i w:val="1"/>
          <w:iCs w:val="1"/>
          <w:color w:val="auto"/>
        </w:rPr>
        <w:t>Leases</w:t>
      </w:r>
      <w:r>
        <w:rPr>
          <w:rFonts w:ascii="Arial" w:cs="Arial" w:eastAsia="Arial" w:hAnsi="Arial"/>
          <w:sz w:val="16"/>
          <w:szCs w:val="16"/>
          <w:color w:val="auto"/>
        </w:rPr>
        <w:t>. The FASB issued this update to increase transparency and comparability among organizations by recognizing lease assets and lease liabilities on the balance sheet and disclosing key information about leasing arrangements. The updated guidance is effective for annual periods beginning after December 15, 2019. Early adoption of the update is permitted. The Company is currently evaluating the new guidance to determine the impact it will have on its consolidated financial statements.</w:t>
      </w:r>
    </w:p>
    <w:p>
      <w:pPr>
        <w:spacing w:after="0" w:line="46" w:lineRule="exact"/>
        <w:rPr>
          <w:sz w:val="20"/>
          <w:szCs w:val="20"/>
          <w:color w:val="auto"/>
        </w:rPr>
      </w:pPr>
    </w:p>
    <w:p>
      <w:pPr>
        <w:ind w:left="440"/>
        <w:spacing w:after="0" w:line="257" w:lineRule="auto"/>
        <w:rPr>
          <w:sz w:val="20"/>
          <w:szCs w:val="20"/>
          <w:color w:val="auto"/>
        </w:rPr>
      </w:pPr>
      <w:r>
        <w:rPr>
          <w:rFonts w:ascii="Arial" w:cs="Arial" w:eastAsia="Arial" w:hAnsi="Arial"/>
          <w:sz w:val="18"/>
          <w:szCs w:val="18"/>
          <w:color w:val="auto"/>
        </w:rPr>
        <w:t xml:space="preserve">In March 2016, the FASB issued ASU 2016-09, </w:t>
      </w:r>
      <w:r>
        <w:rPr>
          <w:rFonts w:ascii="Arial" w:cs="Arial" w:eastAsia="Arial" w:hAnsi="Arial"/>
          <w:sz w:val="18"/>
          <w:szCs w:val="18"/>
          <w:i w:val="1"/>
          <w:iCs w:val="1"/>
          <w:color w:val="auto"/>
        </w:rPr>
        <w:t>Improvements to Employee Share-Based Payment Accounting.</w:t>
      </w:r>
      <w:r>
        <w:rPr>
          <w:rFonts w:ascii="Arial" w:cs="Arial" w:eastAsia="Arial" w:hAnsi="Arial"/>
          <w:sz w:val="18"/>
          <w:szCs w:val="18"/>
          <w:color w:val="auto"/>
        </w:rPr>
        <w:t xml:space="preserve"> This ASU simplifies certain aspects of the accounting for share-based payment transactions, including the consequences for income taxes, equity and liability classifications as well as classifications on the statement of cash flows. The ASU is effective for reporting periods after December 15, 2016 and interim periods therein. The company has adopted this guidance within the current year and there is not a significant impact on its consolidated financial statements.</w:t>
      </w:r>
    </w:p>
    <w:p>
      <w:pPr>
        <w:spacing w:after="0" w:line="80" w:lineRule="exact"/>
        <w:rPr>
          <w:sz w:val="20"/>
          <w:szCs w:val="20"/>
          <w:color w:val="auto"/>
        </w:rPr>
      </w:pPr>
    </w:p>
    <w:p>
      <w:pPr>
        <w:ind w:left="440"/>
        <w:spacing w:after="0" w:line="302" w:lineRule="auto"/>
        <w:rPr>
          <w:sz w:val="20"/>
          <w:szCs w:val="20"/>
          <w:color w:val="auto"/>
        </w:rPr>
      </w:pPr>
      <w:r>
        <w:rPr>
          <w:rFonts w:ascii="Arial" w:cs="Arial" w:eastAsia="Arial" w:hAnsi="Arial"/>
          <w:sz w:val="16"/>
          <w:szCs w:val="16"/>
          <w:color w:val="auto"/>
        </w:rPr>
        <w:t xml:space="preserve">In August 2016, the FASB issued ASU 2016-15, </w:t>
      </w:r>
      <w:r>
        <w:rPr>
          <w:rFonts w:ascii="Arial" w:cs="Arial" w:eastAsia="Arial" w:hAnsi="Arial"/>
          <w:sz w:val="16"/>
          <w:szCs w:val="16"/>
          <w:i w:val="1"/>
          <w:iCs w:val="1"/>
          <w:color w:val="auto"/>
        </w:rPr>
        <w:t>Classification of Certain Cash Receipts and Cash Payments.</w:t>
      </w:r>
      <w:r>
        <w:rPr>
          <w:rFonts w:ascii="Arial" w:cs="Arial" w:eastAsia="Arial" w:hAnsi="Arial"/>
          <w:sz w:val="16"/>
          <w:szCs w:val="16"/>
          <w:color w:val="auto"/>
        </w:rPr>
        <w:t xml:space="preserve"> This ASU addresses the diversity in practice in how certain cash receipts and cash payments are presented and classified in the statement of cash flows. This update addresses eight specific cash flow issues with the objective of reducing the existing diversity in practice. The guidance is effective for annual periods beginning after December 15, 2017 and interim periods therein. Management is assessing the impact of adoption on the consolidated financial statements.</w:t>
      </w:r>
    </w:p>
    <w:p>
      <w:pPr>
        <w:spacing w:after="0" w:line="258" w:lineRule="exact"/>
        <w:rPr>
          <w:sz w:val="20"/>
          <w:szCs w:val="20"/>
          <w:color w:val="auto"/>
        </w:rPr>
      </w:pPr>
    </w:p>
    <w:p>
      <w:pPr>
        <w:ind w:left="440"/>
        <w:spacing w:after="0"/>
        <w:rPr>
          <w:sz w:val="20"/>
          <w:szCs w:val="20"/>
          <w:color w:val="auto"/>
        </w:rPr>
      </w:pPr>
      <w:r>
        <w:rPr>
          <w:rFonts w:ascii="Arial" w:cs="Arial" w:eastAsia="Arial" w:hAnsi="Arial"/>
          <w:sz w:val="18"/>
          <w:szCs w:val="18"/>
          <w:b w:val="1"/>
          <w:bCs w:val="1"/>
          <w:color w:val="auto"/>
        </w:rPr>
        <w:t>Subsequent Events</w:t>
      </w:r>
    </w:p>
    <w:p>
      <w:pPr>
        <w:spacing w:after="0" w:line="121" w:lineRule="exact"/>
        <w:rPr>
          <w:sz w:val="20"/>
          <w:szCs w:val="20"/>
          <w:color w:val="auto"/>
        </w:rPr>
      </w:pPr>
    </w:p>
    <w:p>
      <w:pPr>
        <w:ind w:left="440"/>
        <w:spacing w:after="0"/>
        <w:rPr>
          <w:sz w:val="20"/>
          <w:szCs w:val="20"/>
          <w:color w:val="auto"/>
        </w:rPr>
      </w:pPr>
      <w:r>
        <w:rPr>
          <w:rFonts w:ascii="Arial" w:cs="Arial" w:eastAsia="Arial" w:hAnsi="Arial"/>
          <w:sz w:val="16"/>
          <w:szCs w:val="16"/>
          <w:color w:val="auto"/>
        </w:rPr>
        <w:t>The Company has evaluated events through July 24, 2018, which is the date the consolidated financial statements were available to be issued.</w:t>
      </w:r>
    </w:p>
    <w:p>
      <w:pPr>
        <w:spacing w:after="0" w:line="39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80" w:type="dxa"/>
            <w:vAlign w:val="bottom"/>
          </w:tcPr>
          <w:p>
            <w:pPr>
              <w:jc w:val="right"/>
              <w:ind w:right="50"/>
              <w:spacing w:after="0"/>
              <w:rPr>
                <w:sz w:val="20"/>
                <w:szCs w:val="20"/>
                <w:color w:val="auto"/>
              </w:rPr>
            </w:pPr>
            <w:r>
              <w:rPr>
                <w:rFonts w:ascii="Arial" w:cs="Arial" w:eastAsia="Arial" w:hAnsi="Arial"/>
                <w:sz w:val="18"/>
                <w:szCs w:val="18"/>
                <w:b w:val="1"/>
                <w:bCs w:val="1"/>
                <w:color w:val="auto"/>
                <w:w w:val="79"/>
              </w:rPr>
              <w:t>3.</w:t>
            </w:r>
          </w:p>
        </w:tc>
        <w:tc>
          <w:tcPr>
            <w:tcW w:w="4880" w:type="dxa"/>
            <w:vAlign w:val="bottom"/>
            <w:gridSpan w:val="2"/>
          </w:tcPr>
          <w:p>
            <w:pPr>
              <w:ind w:left="160"/>
              <w:spacing w:after="0"/>
              <w:rPr>
                <w:sz w:val="20"/>
                <w:szCs w:val="20"/>
                <w:color w:val="auto"/>
              </w:rPr>
            </w:pPr>
            <w:r>
              <w:rPr>
                <w:rFonts w:ascii="Arial" w:cs="Arial" w:eastAsia="Arial" w:hAnsi="Arial"/>
                <w:sz w:val="18"/>
                <w:szCs w:val="18"/>
                <w:b w:val="1"/>
                <w:bCs w:val="1"/>
                <w:color w:val="auto"/>
              </w:rPr>
              <w:t>Property and Equipment</w:t>
            </w:r>
          </w:p>
        </w:tc>
        <w:tc>
          <w:tcPr>
            <w:tcW w:w="226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324"/>
        </w:trPr>
        <w:tc>
          <w:tcPr>
            <w:tcW w:w="280" w:type="dxa"/>
            <w:vAlign w:val="bottom"/>
          </w:tcPr>
          <w:p>
            <w:pPr>
              <w:spacing w:after="0"/>
              <w:rPr>
                <w:sz w:val="24"/>
                <w:szCs w:val="24"/>
                <w:color w:val="auto"/>
              </w:rPr>
            </w:pPr>
          </w:p>
        </w:tc>
        <w:tc>
          <w:tcPr>
            <w:tcW w:w="4880" w:type="dxa"/>
            <w:vAlign w:val="bottom"/>
            <w:gridSpan w:val="2"/>
          </w:tcPr>
          <w:p>
            <w:pPr>
              <w:ind w:left="160"/>
              <w:spacing w:after="0"/>
              <w:rPr>
                <w:sz w:val="20"/>
                <w:szCs w:val="20"/>
                <w:color w:val="auto"/>
              </w:rPr>
            </w:pPr>
            <w:r>
              <w:rPr>
                <w:rFonts w:ascii="Arial" w:cs="Arial" w:eastAsia="Arial" w:hAnsi="Arial"/>
                <w:sz w:val="18"/>
                <w:szCs w:val="18"/>
                <w:color w:val="auto"/>
              </w:rPr>
              <w:t>Property and equipment consist of:</w:t>
            </w:r>
          </w:p>
        </w:tc>
        <w:tc>
          <w:tcPr>
            <w:tcW w:w="22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392"/>
        </w:trPr>
        <w:tc>
          <w:tcPr>
            <w:tcW w:w="2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3820" w:type="dxa"/>
            <w:vAlign w:val="bottom"/>
          </w:tcPr>
          <w:p>
            <w:pPr>
              <w:spacing w:after="0"/>
              <w:rPr>
                <w:sz w:val="24"/>
                <w:szCs w:val="24"/>
                <w:color w:val="auto"/>
              </w:rPr>
            </w:pPr>
          </w:p>
        </w:tc>
        <w:tc>
          <w:tcPr>
            <w:tcW w:w="3120" w:type="dxa"/>
            <w:vAlign w:val="bottom"/>
            <w:gridSpan w:val="2"/>
          </w:tcPr>
          <w:p>
            <w:pPr>
              <w:jc w:val="right"/>
              <w:ind w:right="210"/>
              <w:spacing w:after="0"/>
              <w:rPr>
                <w:sz w:val="20"/>
                <w:szCs w:val="20"/>
                <w:color w:val="auto"/>
              </w:rPr>
            </w:pPr>
            <w:r>
              <w:rPr>
                <w:rFonts w:ascii="Arial" w:cs="Arial" w:eastAsia="Arial" w:hAnsi="Arial"/>
                <w:sz w:val="14"/>
                <w:szCs w:val="14"/>
                <w:b w:val="1"/>
                <w:bCs w:val="1"/>
                <w:color w:val="auto"/>
              </w:rPr>
              <w:t>2018</w:t>
            </w:r>
          </w:p>
        </w:tc>
        <w:tc>
          <w:tcPr>
            <w:tcW w:w="240" w:type="dxa"/>
            <w:vAlign w:val="bottom"/>
          </w:tcPr>
          <w:p>
            <w:pPr>
              <w:spacing w:after="0"/>
              <w:rPr>
                <w:sz w:val="24"/>
                <w:szCs w:val="24"/>
                <w:color w:val="auto"/>
              </w:rPr>
            </w:pPr>
          </w:p>
        </w:tc>
        <w:tc>
          <w:tcPr>
            <w:tcW w:w="1080" w:type="dxa"/>
            <w:vAlign w:val="bottom"/>
            <w:gridSpan w:val="2"/>
          </w:tcPr>
          <w:p>
            <w:pPr>
              <w:jc w:val="right"/>
              <w:ind w:right="210"/>
              <w:spacing w:after="0"/>
              <w:rPr>
                <w:sz w:val="20"/>
                <w:szCs w:val="20"/>
                <w:color w:val="auto"/>
              </w:rPr>
            </w:pPr>
            <w:r>
              <w:rPr>
                <w:rFonts w:ascii="Arial" w:cs="Arial" w:eastAsia="Arial" w:hAnsi="Arial"/>
                <w:sz w:val="14"/>
                <w:szCs w:val="14"/>
                <w:b w:val="1"/>
                <w:bCs w:val="1"/>
                <w:color w:val="auto"/>
              </w:rPr>
              <w:t>2017</w:t>
            </w:r>
          </w:p>
        </w:tc>
        <w:tc>
          <w:tcPr>
            <w:tcW w:w="100" w:type="dxa"/>
            <w:vAlign w:val="bottom"/>
          </w:tcPr>
          <w:p>
            <w:pPr>
              <w:spacing w:after="0"/>
              <w:rPr>
                <w:sz w:val="24"/>
                <w:szCs w:val="24"/>
                <w:color w:val="auto"/>
              </w:rPr>
            </w:pPr>
          </w:p>
        </w:tc>
      </w:tr>
      <w:tr>
        <w:trPr>
          <w:trHeight w:val="216"/>
        </w:trPr>
        <w:tc>
          <w:tcPr>
            <w:tcW w:w="2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3820" w:type="dxa"/>
            <w:vAlign w:val="bottom"/>
            <w:shd w:val="clear" w:color="auto" w:fill="CCEEFF"/>
          </w:tcPr>
          <w:p>
            <w:pPr>
              <w:spacing w:after="0"/>
              <w:rPr>
                <w:sz w:val="20"/>
                <w:szCs w:val="20"/>
                <w:color w:val="auto"/>
              </w:rPr>
            </w:pPr>
            <w:r>
              <w:rPr>
                <w:rFonts w:ascii="Arial" w:cs="Arial" w:eastAsia="Arial" w:hAnsi="Arial"/>
                <w:sz w:val="18"/>
                <w:szCs w:val="18"/>
                <w:color w:val="auto"/>
              </w:rPr>
              <w:t>Computer equipment and software</w:t>
            </w:r>
          </w:p>
        </w:tc>
        <w:tc>
          <w:tcPr>
            <w:tcW w:w="31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$ 4,742,066</w:t>
            </w:r>
          </w:p>
        </w:tc>
        <w:tc>
          <w:tcPr>
            <w:tcW w:w="2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$ 4,307,644</w:t>
            </w:r>
          </w:p>
        </w:tc>
        <w:tc>
          <w:tcPr>
            <w:tcW w:w="100" w:type="dxa"/>
            <w:vAlign w:val="bottom"/>
            <w:shd w:val="clear" w:color="auto" w:fill="CCEEFF"/>
          </w:tcPr>
          <w:p>
            <w:pPr>
              <w:spacing w:after="0"/>
              <w:rPr>
                <w:sz w:val="18"/>
                <w:szCs w:val="18"/>
                <w:color w:val="auto"/>
              </w:rPr>
            </w:pPr>
          </w:p>
        </w:tc>
      </w:tr>
      <w:tr>
        <w:trPr>
          <w:trHeight w:val="216"/>
        </w:trPr>
        <w:tc>
          <w:tcPr>
            <w:tcW w:w="2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3820" w:type="dxa"/>
            <w:vAlign w:val="bottom"/>
          </w:tcPr>
          <w:p>
            <w:pPr>
              <w:spacing w:after="0"/>
              <w:rPr>
                <w:sz w:val="20"/>
                <w:szCs w:val="20"/>
                <w:color w:val="auto"/>
              </w:rPr>
            </w:pPr>
            <w:r>
              <w:rPr>
                <w:rFonts w:ascii="Arial" w:cs="Arial" w:eastAsia="Arial" w:hAnsi="Arial"/>
                <w:sz w:val="18"/>
                <w:szCs w:val="18"/>
                <w:color w:val="auto"/>
              </w:rPr>
              <w:t>Leasehold improvements</w:t>
            </w:r>
          </w:p>
        </w:tc>
        <w:tc>
          <w:tcPr>
            <w:tcW w:w="3120" w:type="dxa"/>
            <w:vAlign w:val="bottom"/>
            <w:gridSpan w:val="2"/>
          </w:tcPr>
          <w:p>
            <w:pPr>
              <w:jc w:val="right"/>
              <w:spacing w:after="0"/>
              <w:rPr>
                <w:sz w:val="20"/>
                <w:szCs w:val="20"/>
                <w:color w:val="auto"/>
              </w:rPr>
            </w:pPr>
            <w:r>
              <w:rPr>
                <w:rFonts w:ascii="Arial" w:cs="Arial" w:eastAsia="Arial" w:hAnsi="Arial"/>
                <w:sz w:val="18"/>
                <w:szCs w:val="18"/>
                <w:color w:val="auto"/>
              </w:rPr>
              <w:t>1,214,426</w:t>
            </w:r>
          </w:p>
        </w:tc>
        <w:tc>
          <w:tcPr>
            <w:tcW w:w="240" w:type="dxa"/>
            <w:vAlign w:val="bottom"/>
          </w:tcPr>
          <w:p>
            <w:pPr>
              <w:spacing w:after="0"/>
              <w:rPr>
                <w:sz w:val="18"/>
                <w:szCs w:val="18"/>
                <w:color w:val="auto"/>
              </w:rPr>
            </w:pPr>
          </w:p>
        </w:tc>
        <w:tc>
          <w:tcPr>
            <w:tcW w:w="1080" w:type="dxa"/>
            <w:vAlign w:val="bottom"/>
            <w:gridSpan w:val="2"/>
          </w:tcPr>
          <w:p>
            <w:pPr>
              <w:jc w:val="right"/>
              <w:spacing w:after="0"/>
              <w:rPr>
                <w:sz w:val="20"/>
                <w:szCs w:val="20"/>
                <w:color w:val="auto"/>
              </w:rPr>
            </w:pPr>
            <w:r>
              <w:rPr>
                <w:rFonts w:ascii="Arial" w:cs="Arial" w:eastAsia="Arial" w:hAnsi="Arial"/>
                <w:sz w:val="18"/>
                <w:szCs w:val="18"/>
                <w:color w:val="auto"/>
              </w:rPr>
              <w:t>1,293,153</w:t>
            </w:r>
          </w:p>
        </w:tc>
        <w:tc>
          <w:tcPr>
            <w:tcW w:w="100" w:type="dxa"/>
            <w:vAlign w:val="bottom"/>
          </w:tcPr>
          <w:p>
            <w:pPr>
              <w:spacing w:after="0"/>
              <w:rPr>
                <w:sz w:val="18"/>
                <w:szCs w:val="18"/>
                <w:color w:val="auto"/>
              </w:rPr>
            </w:pPr>
          </w:p>
        </w:tc>
      </w:tr>
      <w:tr>
        <w:trPr>
          <w:trHeight w:val="216"/>
        </w:trPr>
        <w:tc>
          <w:tcPr>
            <w:tcW w:w="2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3820" w:type="dxa"/>
            <w:vAlign w:val="bottom"/>
            <w:shd w:val="clear" w:color="auto" w:fill="CCEEFF"/>
          </w:tcPr>
          <w:p>
            <w:pPr>
              <w:spacing w:after="0"/>
              <w:rPr>
                <w:sz w:val="20"/>
                <w:szCs w:val="20"/>
                <w:color w:val="auto"/>
              </w:rPr>
            </w:pPr>
            <w:r>
              <w:rPr>
                <w:rFonts w:ascii="Arial" w:cs="Arial" w:eastAsia="Arial" w:hAnsi="Arial"/>
                <w:sz w:val="18"/>
                <w:szCs w:val="18"/>
                <w:color w:val="auto"/>
              </w:rPr>
              <w:t>Furniture and fixtures</w:t>
            </w:r>
          </w:p>
        </w:tc>
        <w:tc>
          <w:tcPr>
            <w:tcW w:w="31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1,773,524</w:t>
            </w:r>
          </w:p>
        </w:tc>
        <w:tc>
          <w:tcPr>
            <w:tcW w:w="2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1,599,786</w:t>
            </w:r>
          </w:p>
        </w:tc>
        <w:tc>
          <w:tcPr>
            <w:tcW w:w="100" w:type="dxa"/>
            <w:vAlign w:val="bottom"/>
            <w:shd w:val="clear" w:color="auto" w:fill="CCEEFF"/>
          </w:tcPr>
          <w:p>
            <w:pPr>
              <w:spacing w:after="0"/>
              <w:rPr>
                <w:sz w:val="18"/>
                <w:szCs w:val="18"/>
                <w:color w:val="auto"/>
              </w:rPr>
            </w:pPr>
          </w:p>
        </w:tc>
      </w:tr>
      <w:tr>
        <w:trPr>
          <w:trHeight w:val="216"/>
        </w:trPr>
        <w:tc>
          <w:tcPr>
            <w:tcW w:w="2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3820" w:type="dxa"/>
            <w:vAlign w:val="bottom"/>
          </w:tcPr>
          <w:p>
            <w:pPr>
              <w:spacing w:after="0"/>
              <w:rPr>
                <w:sz w:val="20"/>
                <w:szCs w:val="20"/>
                <w:color w:val="auto"/>
              </w:rPr>
            </w:pPr>
            <w:r>
              <w:rPr>
                <w:rFonts w:ascii="Arial" w:cs="Arial" w:eastAsia="Arial" w:hAnsi="Arial"/>
                <w:sz w:val="18"/>
                <w:szCs w:val="18"/>
                <w:color w:val="auto"/>
              </w:rPr>
              <w:t>Office equipment</w:t>
            </w:r>
          </w:p>
        </w:tc>
        <w:tc>
          <w:tcPr>
            <w:tcW w:w="3120" w:type="dxa"/>
            <w:vAlign w:val="bottom"/>
            <w:gridSpan w:val="2"/>
          </w:tcPr>
          <w:p>
            <w:pPr>
              <w:jc w:val="right"/>
              <w:spacing w:after="0"/>
              <w:rPr>
                <w:sz w:val="20"/>
                <w:szCs w:val="20"/>
                <w:color w:val="auto"/>
              </w:rPr>
            </w:pPr>
            <w:r>
              <w:rPr>
                <w:rFonts w:ascii="Arial" w:cs="Arial" w:eastAsia="Arial" w:hAnsi="Arial"/>
                <w:sz w:val="18"/>
                <w:szCs w:val="18"/>
                <w:color w:val="auto"/>
              </w:rPr>
              <w:t>1,139,778</w:t>
            </w:r>
          </w:p>
        </w:tc>
        <w:tc>
          <w:tcPr>
            <w:tcW w:w="240" w:type="dxa"/>
            <w:vAlign w:val="bottom"/>
          </w:tcPr>
          <w:p>
            <w:pPr>
              <w:spacing w:after="0"/>
              <w:rPr>
                <w:sz w:val="18"/>
                <w:szCs w:val="18"/>
                <w:color w:val="auto"/>
              </w:rPr>
            </w:pPr>
          </w:p>
        </w:tc>
        <w:tc>
          <w:tcPr>
            <w:tcW w:w="1080" w:type="dxa"/>
            <w:vAlign w:val="bottom"/>
            <w:gridSpan w:val="2"/>
          </w:tcPr>
          <w:p>
            <w:pPr>
              <w:jc w:val="right"/>
              <w:spacing w:after="0"/>
              <w:rPr>
                <w:sz w:val="20"/>
                <w:szCs w:val="20"/>
                <w:color w:val="auto"/>
              </w:rPr>
            </w:pPr>
            <w:r>
              <w:rPr>
                <w:rFonts w:ascii="Arial" w:cs="Arial" w:eastAsia="Arial" w:hAnsi="Arial"/>
                <w:sz w:val="18"/>
                <w:szCs w:val="18"/>
                <w:color w:val="auto"/>
              </w:rPr>
              <w:t>817,814</w:t>
            </w:r>
          </w:p>
        </w:tc>
        <w:tc>
          <w:tcPr>
            <w:tcW w:w="100" w:type="dxa"/>
            <w:vAlign w:val="bottom"/>
          </w:tcPr>
          <w:p>
            <w:pPr>
              <w:spacing w:after="0"/>
              <w:rPr>
                <w:sz w:val="18"/>
                <w:szCs w:val="18"/>
                <w:color w:val="auto"/>
              </w:rPr>
            </w:pPr>
          </w:p>
        </w:tc>
      </w:tr>
      <w:tr>
        <w:trPr>
          <w:trHeight w:val="216"/>
        </w:trPr>
        <w:tc>
          <w:tcPr>
            <w:tcW w:w="2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3820" w:type="dxa"/>
            <w:vAlign w:val="bottom"/>
            <w:shd w:val="clear" w:color="auto" w:fill="CCEEFF"/>
          </w:tcPr>
          <w:p>
            <w:pPr>
              <w:spacing w:after="0"/>
              <w:rPr>
                <w:sz w:val="20"/>
                <w:szCs w:val="20"/>
                <w:color w:val="auto"/>
              </w:rPr>
            </w:pPr>
            <w:r>
              <w:rPr>
                <w:rFonts w:ascii="Arial" w:cs="Arial" w:eastAsia="Arial" w:hAnsi="Arial"/>
                <w:sz w:val="18"/>
                <w:szCs w:val="18"/>
                <w:color w:val="auto"/>
              </w:rPr>
              <w:t>CIP—Capital in Progress</w:t>
            </w:r>
          </w:p>
        </w:tc>
        <w:tc>
          <w:tcPr>
            <w:tcW w:w="31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263,625</w:t>
            </w: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r>
      <w:tr>
        <w:trPr>
          <w:trHeight w:val="223"/>
        </w:trPr>
        <w:tc>
          <w:tcPr>
            <w:tcW w:w="28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3820" w:type="dxa"/>
            <w:vAlign w:val="bottom"/>
          </w:tcPr>
          <w:p>
            <w:pPr>
              <w:spacing w:after="0"/>
              <w:rPr>
                <w:sz w:val="19"/>
                <w:szCs w:val="19"/>
                <w:color w:val="auto"/>
              </w:rPr>
            </w:pPr>
          </w:p>
        </w:tc>
        <w:tc>
          <w:tcPr>
            <w:tcW w:w="2260" w:type="dxa"/>
            <w:vAlign w:val="bottom"/>
          </w:tcPr>
          <w:p>
            <w:pPr>
              <w:spacing w:after="0"/>
              <w:rPr>
                <w:sz w:val="19"/>
                <w:szCs w:val="19"/>
                <w:color w:val="auto"/>
              </w:rPr>
            </w:pPr>
          </w:p>
        </w:tc>
        <w:tc>
          <w:tcPr>
            <w:tcW w:w="8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9,133,419</w:t>
            </w:r>
          </w:p>
        </w:tc>
        <w:tc>
          <w:tcPr>
            <w:tcW w:w="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8,018,397</w:t>
            </w:r>
          </w:p>
        </w:tc>
        <w:tc>
          <w:tcPr>
            <w:tcW w:w="100" w:type="dxa"/>
            <w:vAlign w:val="bottom"/>
          </w:tcPr>
          <w:p>
            <w:pPr>
              <w:spacing w:after="0"/>
              <w:rPr>
                <w:sz w:val="19"/>
                <w:szCs w:val="19"/>
                <w:color w:val="auto"/>
              </w:rPr>
            </w:pPr>
          </w:p>
        </w:tc>
      </w:tr>
      <w:tr>
        <w:trPr>
          <w:trHeight w:val="216"/>
        </w:trPr>
        <w:tc>
          <w:tcPr>
            <w:tcW w:w="2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3820" w:type="dxa"/>
            <w:vAlign w:val="bottom"/>
            <w:shd w:val="clear" w:color="auto" w:fill="CCEEFF"/>
          </w:tcPr>
          <w:p>
            <w:pPr>
              <w:spacing w:after="0"/>
              <w:rPr>
                <w:sz w:val="20"/>
                <w:szCs w:val="20"/>
                <w:color w:val="auto"/>
              </w:rPr>
            </w:pPr>
            <w:r>
              <w:rPr>
                <w:rFonts w:ascii="Arial" w:cs="Arial" w:eastAsia="Arial" w:hAnsi="Arial"/>
                <w:sz w:val="18"/>
                <w:szCs w:val="18"/>
                <w:color w:val="auto"/>
                <w:w w:val="96"/>
              </w:rPr>
              <w:t>Less: Accumulated depreciation and amortization</w:t>
            </w:r>
          </w:p>
        </w:tc>
        <w:tc>
          <w:tcPr>
            <w:tcW w:w="336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(5,902,433)</w:t>
            </w:r>
          </w:p>
        </w:tc>
        <w:tc>
          <w:tcPr>
            <w:tcW w:w="118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(4,127,122)</w:t>
            </w:r>
          </w:p>
        </w:tc>
      </w:tr>
      <w:tr>
        <w:trPr>
          <w:trHeight w:val="223"/>
        </w:trPr>
        <w:tc>
          <w:tcPr>
            <w:tcW w:w="28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3820" w:type="dxa"/>
            <w:vAlign w:val="bottom"/>
          </w:tcPr>
          <w:p>
            <w:pPr>
              <w:spacing w:after="0"/>
              <w:rPr>
                <w:sz w:val="19"/>
                <w:szCs w:val="19"/>
                <w:color w:val="auto"/>
              </w:rPr>
            </w:pPr>
          </w:p>
        </w:tc>
        <w:tc>
          <w:tcPr>
            <w:tcW w:w="2260" w:type="dxa"/>
            <w:vAlign w:val="bottom"/>
          </w:tcPr>
          <w:p>
            <w:pPr>
              <w:spacing w:after="0"/>
              <w:rPr>
                <w:sz w:val="19"/>
                <w:szCs w:val="19"/>
                <w:color w:val="auto"/>
              </w:rPr>
            </w:pP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8"/>
              </w:rPr>
              <w:t>$ 3,230,986</w:t>
            </w:r>
          </w:p>
        </w:tc>
        <w:tc>
          <w:tcPr>
            <w:tcW w:w="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0"/>
              </w:rPr>
              <w:t>$ 3,891,275</w:t>
            </w:r>
          </w:p>
        </w:tc>
        <w:tc>
          <w:tcPr>
            <w:tcW w:w="100" w:type="dxa"/>
            <w:vAlign w:val="bottom"/>
          </w:tcPr>
          <w:p>
            <w:pPr>
              <w:spacing w:after="0"/>
              <w:rPr>
                <w:sz w:val="19"/>
                <w:szCs w:val="19"/>
                <w:color w:val="auto"/>
              </w:rPr>
            </w:pPr>
          </w:p>
        </w:tc>
      </w:tr>
      <w:tr>
        <w:trPr>
          <w:trHeight w:val="372"/>
        </w:trPr>
        <w:tc>
          <w:tcPr>
            <w:tcW w:w="2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3820" w:type="dxa"/>
            <w:vAlign w:val="bottom"/>
          </w:tcPr>
          <w:p>
            <w:pPr>
              <w:spacing w:after="0"/>
              <w:rPr>
                <w:sz w:val="24"/>
                <w:szCs w:val="24"/>
                <w:color w:val="auto"/>
              </w:rPr>
            </w:pPr>
          </w:p>
        </w:tc>
        <w:tc>
          <w:tcPr>
            <w:tcW w:w="2260" w:type="dxa"/>
            <w:vAlign w:val="bottom"/>
          </w:tcPr>
          <w:p>
            <w:pPr>
              <w:jc w:val="right"/>
              <w:ind w:right="1732"/>
              <w:spacing w:after="0"/>
              <w:rPr>
                <w:sz w:val="20"/>
                <w:szCs w:val="20"/>
                <w:color w:val="auto"/>
              </w:rPr>
            </w:pPr>
            <w:r>
              <w:rPr>
                <w:rFonts w:ascii="Arial" w:cs="Arial" w:eastAsia="Arial" w:hAnsi="Arial"/>
                <w:sz w:val="18"/>
                <w:szCs w:val="18"/>
                <w:color w:val="auto"/>
              </w:rPr>
              <w:t>10</w:t>
            </w:r>
          </w:p>
        </w:tc>
        <w:tc>
          <w:tcPr>
            <w:tcW w:w="8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r>
    </w:tbl>
    <w:p>
      <w:pPr>
        <w:sectPr>
          <w:pgSz w:w="11900" w:h="16838" w:orient="portrait"/>
          <w:cols w:equalWidth="0" w:num="1">
            <w:col w:w="11000"/>
          </w:cols>
          <w:pgMar w:left="440" w:top="270" w:right="459" w:bottom="1440" w:gutter="0" w:footer="0" w:header="0"/>
        </w:sectPr>
      </w:pPr>
    </w:p>
    <w:bookmarkStart w:id="16" w:name="page17"/>
    <w:bookmarkEnd w:id="16"/>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SiriusDecisions, Inc. and Subsidiaries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March 31, 2018 and 2017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14605</wp:posOffset>
            </wp:positionV>
            <wp:extent cx="6997700" cy="88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6997700" cy="8890"/>
                    </a:xfrm>
                    <a:prstGeom prst="rect">
                      <a:avLst/>
                    </a:prstGeom>
                    <a:noFill/>
                  </pic:spPr>
                </pic:pic>
              </a:graphicData>
            </a:graphic>
          </wp:anchor>
        </w:drawing>
      </w:r>
    </w:p>
    <w:p>
      <w:pPr>
        <w:spacing w:after="0" w:line="191" w:lineRule="exact"/>
        <w:rPr>
          <w:sz w:val="20"/>
          <w:szCs w:val="20"/>
          <w:color w:val="auto"/>
        </w:rPr>
      </w:pPr>
    </w:p>
    <w:p>
      <w:pPr>
        <w:ind w:left="440"/>
        <w:spacing w:after="0"/>
        <w:rPr>
          <w:sz w:val="20"/>
          <w:szCs w:val="20"/>
          <w:color w:val="auto"/>
        </w:rPr>
      </w:pPr>
      <w:r>
        <w:rPr>
          <w:rFonts w:ascii="Arial" w:cs="Arial" w:eastAsia="Arial" w:hAnsi="Arial"/>
          <w:sz w:val="16"/>
          <w:szCs w:val="16"/>
          <w:color w:val="auto"/>
        </w:rPr>
        <w:t>Depreciation and amortization expense for the years ended March 31, 2018 and 2017 was approximately $1,861,000 and $1,455,000, respectively.</w:t>
      </w:r>
    </w:p>
    <w:p>
      <w:pPr>
        <w:spacing w:after="0" w:line="140" w:lineRule="exact"/>
        <w:rPr>
          <w:sz w:val="20"/>
          <w:szCs w:val="20"/>
          <w:color w:val="auto"/>
        </w:rPr>
      </w:pPr>
    </w:p>
    <w:p>
      <w:pPr>
        <w:ind w:left="440" w:right="260"/>
        <w:spacing w:after="0" w:line="308" w:lineRule="auto"/>
        <w:rPr>
          <w:sz w:val="20"/>
          <w:szCs w:val="20"/>
          <w:color w:val="auto"/>
        </w:rPr>
      </w:pPr>
      <w:r>
        <w:rPr>
          <w:rFonts w:ascii="Arial" w:cs="Arial" w:eastAsia="Arial" w:hAnsi="Arial"/>
          <w:sz w:val="17"/>
          <w:szCs w:val="17"/>
          <w:color w:val="auto"/>
        </w:rPr>
        <w:t>As of March 31, 2018, internal use software costs totaled $3,339,000 with accumulated amortization of the software totaling $1,066,000. As of March 31, 2017, internal use software costs totaled $2,905,000 with accumulated amortization of the software totaling $927,000.</w:t>
      </w:r>
    </w:p>
    <w:p>
      <w:pPr>
        <w:spacing w:after="0" w:line="291" w:lineRule="exact"/>
        <w:rPr>
          <w:sz w:val="20"/>
          <w:szCs w:val="20"/>
          <w:color w:val="auto"/>
        </w:rPr>
      </w:pPr>
    </w:p>
    <w:p>
      <w:pPr>
        <w:ind w:left="440" w:hanging="436"/>
        <w:spacing w:after="0"/>
        <w:tabs>
          <w:tab w:leader="none" w:pos="440" w:val="left"/>
        </w:tabs>
        <w:numPr>
          <w:ilvl w:val="0"/>
          <w:numId w:val="7"/>
        </w:numPr>
        <w:rPr>
          <w:rFonts w:ascii="Arial" w:cs="Arial" w:eastAsia="Arial" w:hAnsi="Arial"/>
          <w:sz w:val="18"/>
          <w:szCs w:val="18"/>
          <w:b w:val="1"/>
          <w:bCs w:val="1"/>
          <w:color w:val="auto"/>
        </w:rPr>
      </w:pPr>
      <w:r>
        <w:rPr>
          <w:rFonts w:ascii="Arial" w:cs="Arial" w:eastAsia="Arial" w:hAnsi="Arial"/>
          <w:sz w:val="18"/>
          <w:szCs w:val="18"/>
          <w:b w:val="1"/>
          <w:bCs w:val="1"/>
          <w:color w:val="auto"/>
        </w:rPr>
        <w:t>Line of Credit</w:t>
      </w:r>
    </w:p>
    <w:p>
      <w:pPr>
        <w:spacing w:after="0" w:line="121" w:lineRule="exact"/>
        <w:rPr>
          <w:rFonts w:ascii="Arial" w:cs="Arial" w:eastAsia="Arial" w:hAnsi="Arial"/>
          <w:sz w:val="18"/>
          <w:szCs w:val="18"/>
          <w:b w:val="1"/>
          <w:bCs w:val="1"/>
          <w:color w:val="auto"/>
        </w:rPr>
      </w:pPr>
    </w:p>
    <w:p>
      <w:pPr>
        <w:ind w:left="440" w:right="20"/>
        <w:spacing w:after="0" w:line="255" w:lineRule="auto"/>
        <w:rPr>
          <w:rFonts w:ascii="Arial" w:cs="Arial" w:eastAsia="Arial" w:hAnsi="Arial"/>
          <w:sz w:val="18"/>
          <w:szCs w:val="18"/>
          <w:b w:val="1"/>
          <w:bCs w:val="1"/>
          <w:color w:val="auto"/>
        </w:rPr>
      </w:pPr>
      <w:r>
        <w:rPr>
          <w:rFonts w:ascii="Arial" w:cs="Arial" w:eastAsia="Arial" w:hAnsi="Arial"/>
          <w:sz w:val="18"/>
          <w:szCs w:val="18"/>
          <w:color w:val="auto"/>
        </w:rPr>
        <w:t>The Company renewed its revolving line of credit with a bank on March 31, 2018, and the total facility was increased from $10 million to $15 million, which gives the Company the ability to borrow up to $15 million limited by a borrowing base, as defined in the agreement for working capital and other general corporate needs in the ordinary course of business. Within the line of credit there is a sub-facility for letters of credit not to exceed $2,000,000. The loan agreement matures on March 31, 2020 and is subject to renewal. The loan is secured by substantially all of the assets of the Company. Amounts outstanding on the loan are assessed interest charges of the Prime Rate in effect on such day plus one half percent per annum and any undrawn portion will be charged an unused fee of 0.125%. There were no amounts outstanding on the line of credit as of March 31, 2018.</w:t>
      </w:r>
    </w:p>
    <w:p>
      <w:pPr>
        <w:spacing w:after="0" w:line="333" w:lineRule="exact"/>
        <w:rPr>
          <w:rFonts w:ascii="Arial" w:cs="Arial" w:eastAsia="Arial" w:hAnsi="Arial"/>
          <w:sz w:val="18"/>
          <w:szCs w:val="18"/>
          <w:b w:val="1"/>
          <w:bCs w:val="1"/>
          <w:color w:val="auto"/>
        </w:rPr>
      </w:pPr>
    </w:p>
    <w:p>
      <w:pPr>
        <w:ind w:left="440" w:hanging="436"/>
        <w:spacing w:after="0"/>
        <w:tabs>
          <w:tab w:leader="none" w:pos="440" w:val="left"/>
        </w:tabs>
        <w:numPr>
          <w:ilvl w:val="0"/>
          <w:numId w:val="7"/>
        </w:numPr>
        <w:rPr>
          <w:rFonts w:ascii="Arial" w:cs="Arial" w:eastAsia="Arial" w:hAnsi="Arial"/>
          <w:sz w:val="18"/>
          <w:szCs w:val="18"/>
          <w:b w:val="1"/>
          <w:bCs w:val="1"/>
          <w:color w:val="auto"/>
        </w:rPr>
      </w:pPr>
      <w:r>
        <w:rPr>
          <w:rFonts w:ascii="Arial" w:cs="Arial" w:eastAsia="Arial" w:hAnsi="Arial"/>
          <w:sz w:val="18"/>
          <w:szCs w:val="18"/>
          <w:b w:val="1"/>
          <w:bCs w:val="1"/>
          <w:color w:val="auto"/>
        </w:rPr>
        <w:t>Income Taxes</w:t>
      </w:r>
    </w:p>
    <w:p>
      <w:pPr>
        <w:spacing w:after="0" w:line="121" w:lineRule="exact"/>
        <w:rPr>
          <w:rFonts w:ascii="Arial" w:cs="Arial" w:eastAsia="Arial" w:hAnsi="Arial"/>
          <w:sz w:val="18"/>
          <w:szCs w:val="18"/>
          <w:b w:val="1"/>
          <w:bCs w:val="1"/>
          <w:color w:val="auto"/>
        </w:rPr>
      </w:pPr>
    </w:p>
    <w:p>
      <w:pPr>
        <w:ind w:left="440" w:right="60"/>
        <w:spacing w:after="0" w:line="279" w:lineRule="auto"/>
        <w:rPr>
          <w:rFonts w:ascii="Arial" w:cs="Arial" w:eastAsia="Arial" w:hAnsi="Arial"/>
          <w:sz w:val="18"/>
          <w:szCs w:val="18"/>
          <w:b w:val="1"/>
          <w:bCs w:val="1"/>
          <w:color w:val="auto"/>
        </w:rPr>
      </w:pPr>
      <w:r>
        <w:rPr>
          <w:rFonts w:ascii="Arial" w:cs="Arial" w:eastAsia="Arial" w:hAnsi="Arial"/>
          <w:sz w:val="17"/>
          <w:szCs w:val="17"/>
          <w:color w:val="auto"/>
        </w:rPr>
        <w:t>On December 22, 2017, the United States enacted the 2017 Tax Cuts and Job Act (“Tax Reform”) which made significant changes to United States federal income tax law which affects the Company. Effective January 1, 2018, the US federal income tax rate is reduced to 21 percent from 35 percent. As a result, a tax benefit of the Company is included in the provision for income taxes to reflect the revaluation of the ending deferred tax asset balance as of March 31, 2018. In addition, the Company is in a full valuation position.</w:t>
      </w:r>
    </w:p>
    <w:p>
      <w:pPr>
        <w:spacing w:after="0" w:line="63" w:lineRule="exact"/>
        <w:rPr>
          <w:rFonts w:ascii="Arial" w:cs="Arial" w:eastAsia="Arial" w:hAnsi="Arial"/>
          <w:sz w:val="18"/>
          <w:szCs w:val="18"/>
          <w:b w:val="1"/>
          <w:bCs w:val="1"/>
          <w:color w:val="auto"/>
        </w:rPr>
      </w:pPr>
    </w:p>
    <w:p>
      <w:pPr>
        <w:ind w:left="440" w:right="300"/>
        <w:spacing w:after="0" w:line="277" w:lineRule="auto"/>
        <w:rPr>
          <w:rFonts w:ascii="Arial" w:cs="Arial" w:eastAsia="Arial" w:hAnsi="Arial"/>
          <w:sz w:val="18"/>
          <w:szCs w:val="18"/>
          <w:b w:val="1"/>
          <w:bCs w:val="1"/>
          <w:color w:val="auto"/>
        </w:rPr>
      </w:pPr>
      <w:r>
        <w:rPr>
          <w:rFonts w:ascii="Arial" w:cs="Arial" w:eastAsia="Arial" w:hAnsi="Arial"/>
          <w:sz w:val="18"/>
          <w:szCs w:val="18"/>
          <w:color w:val="auto"/>
        </w:rPr>
        <w:t>Tax Reform Legislation also provides for 100 percent bonus depreciation on personal tangible property expenditures through 2022. The bonus depreciation percentage is phased down from 100 percent beginning in 2023 through 2026.</w:t>
      </w:r>
    </w:p>
    <w:p>
      <w:pPr>
        <w:spacing w:after="0" w:line="62" w:lineRule="exact"/>
        <w:rPr>
          <w:rFonts w:ascii="Arial" w:cs="Arial" w:eastAsia="Arial" w:hAnsi="Arial"/>
          <w:sz w:val="18"/>
          <w:szCs w:val="18"/>
          <w:b w:val="1"/>
          <w:bCs w:val="1"/>
          <w:color w:val="auto"/>
        </w:rPr>
      </w:pPr>
    </w:p>
    <w:p>
      <w:pPr>
        <w:ind w:left="440" w:right="60"/>
        <w:spacing w:after="0" w:line="302" w:lineRule="auto"/>
        <w:rPr>
          <w:rFonts w:ascii="Arial" w:cs="Arial" w:eastAsia="Arial" w:hAnsi="Arial"/>
          <w:sz w:val="18"/>
          <w:szCs w:val="18"/>
          <w:b w:val="1"/>
          <w:bCs w:val="1"/>
          <w:color w:val="auto"/>
        </w:rPr>
      </w:pPr>
      <w:r>
        <w:rPr>
          <w:rFonts w:ascii="Arial" w:cs="Arial" w:eastAsia="Arial" w:hAnsi="Arial"/>
          <w:sz w:val="16"/>
          <w:szCs w:val="16"/>
          <w:color w:val="auto"/>
        </w:rPr>
        <w:t>Tax Reform is a comprehensive bill containing several other provisions, either modifying current provisions or creating new provisions. Based on the Company’s preliminary assessment, the impact of these provisions are not expected to be material on the Company’s results of operations, cash flows and consolidated financial statements. That being said, the ultimate impact of Tax Reform may differ from the Company’s estimates due to changes in the interpretations and assumptions made by the Company as well as additional regulatory guidance that may be issued.</w:t>
      </w:r>
    </w:p>
    <w:p>
      <w:pPr>
        <w:spacing w:after="0" w:line="46" w:lineRule="exact"/>
        <w:rPr>
          <w:rFonts w:ascii="Arial" w:cs="Arial" w:eastAsia="Arial" w:hAnsi="Arial"/>
          <w:sz w:val="18"/>
          <w:szCs w:val="18"/>
          <w:b w:val="1"/>
          <w:bCs w:val="1"/>
          <w:color w:val="auto"/>
        </w:rPr>
      </w:pPr>
    </w:p>
    <w:p>
      <w:pPr>
        <w:ind w:left="440"/>
        <w:spacing w:after="0"/>
        <w:rPr>
          <w:rFonts w:ascii="Arial" w:cs="Arial" w:eastAsia="Arial" w:hAnsi="Arial"/>
          <w:sz w:val="18"/>
          <w:szCs w:val="18"/>
          <w:b w:val="1"/>
          <w:bCs w:val="1"/>
          <w:color w:val="auto"/>
        </w:rPr>
      </w:pPr>
      <w:r>
        <w:rPr>
          <w:rFonts w:ascii="Arial" w:cs="Arial" w:eastAsia="Arial" w:hAnsi="Arial"/>
          <w:sz w:val="18"/>
          <w:szCs w:val="18"/>
          <w:color w:val="auto"/>
        </w:rPr>
        <w:t>There were no current or deferred income tax provisions for the years ended March 31, 2018 or 2017.</w:t>
      </w:r>
    </w:p>
    <w:p>
      <w:pPr>
        <w:spacing w:after="0" w:line="117" w:lineRule="exact"/>
        <w:rPr>
          <w:rFonts w:ascii="Arial" w:cs="Arial" w:eastAsia="Arial" w:hAnsi="Arial"/>
          <w:sz w:val="18"/>
          <w:szCs w:val="18"/>
          <w:b w:val="1"/>
          <w:bCs w:val="1"/>
          <w:color w:val="auto"/>
        </w:rPr>
      </w:pPr>
    </w:p>
    <w:p>
      <w:pPr>
        <w:ind w:left="440" w:right="80"/>
        <w:spacing w:after="0" w:line="276" w:lineRule="auto"/>
        <w:rPr>
          <w:rFonts w:ascii="Arial" w:cs="Arial" w:eastAsia="Arial" w:hAnsi="Arial"/>
          <w:sz w:val="18"/>
          <w:szCs w:val="18"/>
          <w:b w:val="1"/>
          <w:bCs w:val="1"/>
          <w:color w:val="auto"/>
        </w:rPr>
      </w:pPr>
      <w:r>
        <w:rPr>
          <w:rFonts w:ascii="Arial" w:cs="Arial" w:eastAsia="Arial" w:hAnsi="Arial"/>
          <w:sz w:val="17"/>
          <w:szCs w:val="17"/>
          <w:color w:val="auto"/>
        </w:rPr>
        <w:t>At March 31, 2018, the Company has Federal Net Operating Loss (“NOL”) carryforwards of approximately $13,341,000 which expire starting in 2031 through 2037. In addition, at March 31, 2018, the Company also has various State NOLs of approximately $10,785,000, which expire at various times through 2037. Utilization of the NOL carryforwards and credits may be subject to a substantial annual limitation due to the ownership change limitations provided by the Internal Revenue Code (“IRC”) of 1986, as amended, or the IRC, and similar state provisions. The Company has not performed a detailed analysis to determine whether an ownership change under</w:t>
      </w:r>
    </w:p>
    <w:p>
      <w:pPr>
        <w:spacing w:after="0" w:line="10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000"/>
          </w:cols>
          <w:pgMar w:left="440" w:top="270" w:right="459" w:bottom="1440" w:gutter="0" w:footer="0" w:header="0"/>
        </w:sectPr>
      </w:pPr>
    </w:p>
    <w:bookmarkStart w:id="17" w:name="page18"/>
    <w:bookmarkEnd w:id="17"/>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SiriusDecisions, Inc. and Subsidiaries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March 31, 2018 and 2017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14605</wp:posOffset>
            </wp:positionV>
            <wp:extent cx="6997700" cy="889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6997700" cy="8890"/>
                    </a:xfrm>
                    <a:prstGeom prst="rect">
                      <a:avLst/>
                    </a:prstGeom>
                    <a:noFill/>
                  </pic:spPr>
                </pic:pic>
              </a:graphicData>
            </a:graphic>
          </wp:anchor>
        </w:drawing>
      </w:r>
    </w:p>
    <w:p>
      <w:pPr>
        <w:spacing w:after="0" w:line="191" w:lineRule="exact"/>
        <w:rPr>
          <w:sz w:val="20"/>
          <w:szCs w:val="20"/>
          <w:color w:val="auto"/>
        </w:rPr>
      </w:pPr>
    </w:p>
    <w:p>
      <w:pPr>
        <w:ind w:left="440" w:right="540"/>
        <w:spacing w:after="0" w:line="277" w:lineRule="auto"/>
        <w:rPr>
          <w:sz w:val="20"/>
          <w:szCs w:val="20"/>
          <w:color w:val="auto"/>
        </w:rPr>
      </w:pPr>
      <w:r>
        <w:rPr>
          <w:rFonts w:ascii="Arial" w:cs="Arial" w:eastAsia="Arial" w:hAnsi="Arial"/>
          <w:sz w:val="18"/>
          <w:szCs w:val="18"/>
          <w:color w:val="auto"/>
        </w:rPr>
        <w:t>Section 382 of the IRC has occurred. The effect of an ownership change could be the imposition of an annual limitation on the use of NOL carryforwards attributable to periods before the change.</w:t>
      </w:r>
    </w:p>
    <w:p>
      <w:pPr>
        <w:spacing w:after="0" w:line="62" w:lineRule="exact"/>
        <w:rPr>
          <w:sz w:val="20"/>
          <w:szCs w:val="20"/>
          <w:color w:val="auto"/>
        </w:rPr>
      </w:pPr>
    </w:p>
    <w:p>
      <w:pPr>
        <w:ind w:left="440"/>
        <w:spacing w:after="0"/>
        <w:rPr>
          <w:sz w:val="20"/>
          <w:szCs w:val="20"/>
          <w:color w:val="auto"/>
        </w:rPr>
      </w:pPr>
      <w:r>
        <w:rPr>
          <w:rFonts w:ascii="Arial" w:cs="Arial" w:eastAsia="Arial" w:hAnsi="Arial"/>
          <w:sz w:val="18"/>
          <w:szCs w:val="18"/>
          <w:color w:val="auto"/>
        </w:rPr>
        <w:t>At March 31, 2018, the Company has UK Net operating losses of $1,549,000 which do not expire.</w:t>
      </w:r>
    </w:p>
    <w:p>
      <w:pPr>
        <w:spacing w:after="0" w:line="117" w:lineRule="exact"/>
        <w:rPr>
          <w:sz w:val="20"/>
          <w:szCs w:val="20"/>
          <w:color w:val="auto"/>
        </w:rPr>
      </w:pPr>
    </w:p>
    <w:p>
      <w:pPr>
        <w:ind w:left="440" w:right="300"/>
        <w:spacing w:after="0" w:line="264" w:lineRule="auto"/>
        <w:rPr>
          <w:sz w:val="20"/>
          <w:szCs w:val="20"/>
          <w:color w:val="auto"/>
        </w:rPr>
      </w:pPr>
      <w:r>
        <w:rPr>
          <w:rFonts w:ascii="Arial" w:cs="Arial" w:eastAsia="Arial" w:hAnsi="Arial"/>
          <w:sz w:val="18"/>
          <w:szCs w:val="18"/>
          <w:color w:val="auto"/>
        </w:rPr>
        <w:t>Deferred income taxes reflect the net tax effect of temporary differences between the carrying amounts of assets and liabilities for financial reporting purposes and the amounts used for income tax purposes. Significant components of the Company’s deferred tax assets (liabilities) at March 31, 2018 and 2017 are approximately as follows:</w:t>
      </w:r>
    </w:p>
    <w:p>
      <w:pPr>
        <w:spacing w:after="0" w:line="200" w:lineRule="exact"/>
        <w:rPr>
          <w:sz w:val="20"/>
          <w:szCs w:val="20"/>
          <w:color w:val="auto"/>
        </w:rPr>
      </w:pPr>
    </w:p>
    <w:tbl>
      <w:tblPr>
        <w:tblLayout w:type="fixed"/>
        <w:tblInd w:w="132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4380" w:type="dxa"/>
            <w:vAlign w:val="bottom"/>
          </w:tcPr>
          <w:p>
            <w:pPr>
              <w:spacing w:after="0"/>
              <w:rPr>
                <w:sz w:val="14"/>
                <w:szCs w:val="14"/>
                <w:color w:val="auto"/>
              </w:rPr>
            </w:pPr>
          </w:p>
        </w:tc>
        <w:tc>
          <w:tcPr>
            <w:tcW w:w="16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0" w:type="dxa"/>
            <w:vAlign w:val="bottom"/>
          </w:tcPr>
          <w:p>
            <w:pPr>
              <w:jc w:val="right"/>
              <w:ind w:right="211"/>
              <w:spacing w:after="0"/>
              <w:rPr>
                <w:sz w:val="20"/>
                <w:szCs w:val="20"/>
                <w:color w:val="auto"/>
              </w:rPr>
            </w:pPr>
            <w:r>
              <w:rPr>
                <w:rFonts w:ascii="Arial" w:cs="Arial" w:eastAsia="Arial" w:hAnsi="Arial"/>
                <w:sz w:val="14"/>
                <w:szCs w:val="14"/>
                <w:b w:val="1"/>
                <w:bCs w:val="1"/>
                <w:color w:val="auto"/>
              </w:rPr>
              <w:t>2018</w:t>
            </w:r>
          </w:p>
        </w:tc>
        <w:tc>
          <w:tcPr>
            <w:tcW w:w="2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0" w:type="dxa"/>
            <w:vAlign w:val="bottom"/>
          </w:tcPr>
          <w:p>
            <w:pPr>
              <w:jc w:val="right"/>
              <w:ind w:right="212"/>
              <w:spacing w:after="0"/>
              <w:rPr>
                <w:sz w:val="20"/>
                <w:szCs w:val="20"/>
                <w:color w:val="auto"/>
              </w:rPr>
            </w:pPr>
            <w:r>
              <w:rPr>
                <w:rFonts w:ascii="Arial" w:cs="Arial" w:eastAsia="Arial" w:hAnsi="Arial"/>
                <w:sz w:val="14"/>
                <w:szCs w:val="14"/>
                <w:b w:val="1"/>
                <w:bCs w:val="1"/>
                <w:color w:val="auto"/>
              </w:rPr>
              <w:t>2017</w:t>
            </w:r>
          </w:p>
        </w:tc>
        <w:tc>
          <w:tcPr>
            <w:tcW w:w="100" w:type="dxa"/>
            <w:vAlign w:val="bottom"/>
          </w:tcPr>
          <w:p>
            <w:pPr>
              <w:spacing w:after="0"/>
              <w:rPr>
                <w:sz w:val="14"/>
                <w:szCs w:val="14"/>
                <w:color w:val="auto"/>
              </w:rPr>
            </w:pPr>
          </w:p>
        </w:tc>
      </w:tr>
      <w:tr>
        <w:trPr>
          <w:trHeight w:val="216"/>
        </w:trPr>
        <w:tc>
          <w:tcPr>
            <w:tcW w:w="20" w:type="dxa"/>
            <w:vAlign w:val="bottom"/>
          </w:tcPr>
          <w:p>
            <w:pPr>
              <w:spacing w:after="0"/>
              <w:rPr>
                <w:sz w:val="18"/>
                <w:szCs w:val="18"/>
                <w:color w:val="auto"/>
              </w:rPr>
            </w:pPr>
          </w:p>
        </w:tc>
        <w:tc>
          <w:tcPr>
            <w:tcW w:w="4380" w:type="dxa"/>
            <w:vAlign w:val="bottom"/>
            <w:shd w:val="clear" w:color="auto" w:fill="CCEEFF"/>
          </w:tcPr>
          <w:p>
            <w:pPr>
              <w:spacing w:after="0"/>
              <w:rPr>
                <w:sz w:val="20"/>
                <w:szCs w:val="20"/>
                <w:color w:val="auto"/>
              </w:rPr>
            </w:pPr>
            <w:r>
              <w:rPr>
                <w:rFonts w:ascii="Arial" w:cs="Arial" w:eastAsia="Arial" w:hAnsi="Arial"/>
                <w:sz w:val="18"/>
                <w:szCs w:val="18"/>
                <w:color w:val="auto"/>
              </w:rPr>
              <w:t>Deferred Tax Assets:</w:t>
            </w:r>
          </w:p>
        </w:tc>
        <w:tc>
          <w:tcPr>
            <w:tcW w:w="16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380" w:type="dxa"/>
            <w:vAlign w:val="bottom"/>
          </w:tcPr>
          <w:p>
            <w:pPr>
              <w:ind w:left="340"/>
              <w:spacing w:after="0"/>
              <w:rPr>
                <w:sz w:val="20"/>
                <w:szCs w:val="20"/>
                <w:color w:val="auto"/>
              </w:rPr>
            </w:pPr>
            <w:r>
              <w:rPr>
                <w:rFonts w:ascii="Arial" w:cs="Arial" w:eastAsia="Arial" w:hAnsi="Arial"/>
                <w:sz w:val="18"/>
                <w:szCs w:val="18"/>
                <w:color w:val="auto"/>
              </w:rPr>
              <w:t>Accrued Expenses</w:t>
            </w:r>
          </w:p>
        </w:tc>
        <w:tc>
          <w:tcPr>
            <w:tcW w:w="16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75,000</w:t>
            </w:r>
          </w:p>
        </w:tc>
        <w:tc>
          <w:tcPr>
            <w:tcW w:w="280" w:type="dxa"/>
            <w:vAlign w:val="bottom"/>
          </w:tcPr>
          <w:p>
            <w:pPr>
              <w:spacing w:after="0"/>
              <w:rPr>
                <w:sz w:val="18"/>
                <w:szCs w:val="18"/>
                <w:color w:val="auto"/>
              </w:rPr>
            </w:pPr>
          </w:p>
        </w:tc>
        <w:tc>
          <w:tcPr>
            <w:tcW w:w="3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340,000</w:t>
            </w:r>
          </w:p>
        </w:tc>
        <w:tc>
          <w:tcPr>
            <w:tcW w:w="1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3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Stock Compensation</w:t>
            </w:r>
          </w:p>
        </w:tc>
        <w:tc>
          <w:tcPr>
            <w:tcW w:w="16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64,000</w:t>
            </w:r>
          </w:p>
        </w:tc>
        <w:tc>
          <w:tcPr>
            <w:tcW w:w="2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108,000</w:t>
            </w:r>
          </w:p>
        </w:tc>
        <w:tc>
          <w:tcPr>
            <w:tcW w:w="1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380" w:type="dxa"/>
            <w:vAlign w:val="bottom"/>
          </w:tcPr>
          <w:p>
            <w:pPr>
              <w:ind w:left="340"/>
              <w:spacing w:after="0"/>
              <w:rPr>
                <w:sz w:val="20"/>
                <w:szCs w:val="20"/>
                <w:color w:val="auto"/>
              </w:rPr>
            </w:pPr>
            <w:r>
              <w:rPr>
                <w:rFonts w:ascii="Arial" w:cs="Arial" w:eastAsia="Arial" w:hAnsi="Arial"/>
                <w:sz w:val="18"/>
                <w:szCs w:val="18"/>
                <w:color w:val="auto"/>
              </w:rPr>
              <w:t>Net Operating Loss Carryforward</w:t>
            </w:r>
          </w:p>
        </w:tc>
        <w:tc>
          <w:tcPr>
            <w:tcW w:w="16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w w:val="94"/>
              </w:rPr>
              <w:t>3,919,000</w:t>
            </w: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w w:val="97"/>
              </w:rPr>
              <w:t>5,259,000</w:t>
            </w:r>
          </w:p>
        </w:tc>
        <w:tc>
          <w:tcPr>
            <w:tcW w:w="1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3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Other</w:t>
            </w:r>
          </w:p>
        </w:tc>
        <w:tc>
          <w:tcPr>
            <w:tcW w:w="160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5,000</w:t>
            </w:r>
          </w:p>
        </w:tc>
        <w:tc>
          <w:tcPr>
            <w:tcW w:w="2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9,000</w:t>
            </w:r>
          </w:p>
        </w:tc>
        <w:tc>
          <w:tcPr>
            <w:tcW w:w="100" w:type="dxa"/>
            <w:vAlign w:val="bottom"/>
            <w:shd w:val="clear" w:color="auto" w:fill="CCEEFF"/>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4380" w:type="dxa"/>
            <w:vAlign w:val="bottom"/>
          </w:tcPr>
          <w:p>
            <w:pPr>
              <w:spacing w:after="0"/>
              <w:rPr>
                <w:sz w:val="19"/>
                <w:szCs w:val="19"/>
                <w:color w:val="auto"/>
              </w:rPr>
            </w:pPr>
          </w:p>
        </w:tc>
        <w:tc>
          <w:tcPr>
            <w:tcW w:w="16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w w:val="94"/>
              </w:rPr>
              <w:t>4,063,000</w:t>
            </w:r>
          </w:p>
        </w:tc>
        <w:tc>
          <w:tcPr>
            <w:tcW w:w="2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w w:val="97"/>
              </w:rPr>
              <w:t>5,716,000</w:t>
            </w:r>
          </w:p>
        </w:tc>
        <w:tc>
          <w:tcPr>
            <w:tcW w:w="10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4380" w:type="dxa"/>
            <w:vAlign w:val="bottom"/>
            <w:shd w:val="clear" w:color="auto" w:fill="CCEEFF"/>
          </w:tcPr>
          <w:p>
            <w:pPr>
              <w:spacing w:after="0"/>
              <w:rPr>
                <w:sz w:val="20"/>
                <w:szCs w:val="20"/>
                <w:color w:val="auto"/>
              </w:rPr>
            </w:pPr>
            <w:r>
              <w:rPr>
                <w:rFonts w:ascii="Arial" w:cs="Arial" w:eastAsia="Arial" w:hAnsi="Arial"/>
                <w:sz w:val="18"/>
                <w:szCs w:val="18"/>
                <w:color w:val="auto"/>
              </w:rPr>
              <w:t>Valuation allowance</w:t>
            </w:r>
          </w:p>
        </w:tc>
        <w:tc>
          <w:tcPr>
            <w:tcW w:w="16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w w:val="89"/>
              </w:rPr>
              <w:t>(3,849,000)</w:t>
            </w:r>
          </w:p>
        </w:tc>
        <w:tc>
          <w:tcPr>
            <w:tcW w:w="2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1"/>
              </w:rPr>
              <w:t>(5,058,000)</w:t>
            </w:r>
          </w:p>
        </w:tc>
      </w:tr>
      <w:tr>
        <w:trPr>
          <w:trHeight w:val="230"/>
        </w:trPr>
        <w:tc>
          <w:tcPr>
            <w:tcW w:w="20" w:type="dxa"/>
            <w:vAlign w:val="bottom"/>
          </w:tcPr>
          <w:p>
            <w:pPr>
              <w:spacing w:after="0"/>
              <w:rPr>
                <w:sz w:val="20"/>
                <w:szCs w:val="20"/>
                <w:color w:val="auto"/>
              </w:rPr>
            </w:pPr>
          </w:p>
        </w:tc>
        <w:tc>
          <w:tcPr>
            <w:tcW w:w="4380" w:type="dxa"/>
            <w:vAlign w:val="bottom"/>
          </w:tcPr>
          <w:p>
            <w:pPr>
              <w:ind w:left="700"/>
              <w:spacing w:after="0"/>
              <w:rPr>
                <w:sz w:val="20"/>
                <w:szCs w:val="20"/>
                <w:color w:val="auto"/>
              </w:rPr>
            </w:pPr>
            <w:r>
              <w:rPr>
                <w:rFonts w:ascii="Arial" w:cs="Arial" w:eastAsia="Arial" w:hAnsi="Arial"/>
                <w:sz w:val="18"/>
                <w:szCs w:val="18"/>
                <w:color w:val="auto"/>
              </w:rPr>
              <w:t>Total deferred tax assets</w:t>
            </w:r>
          </w:p>
        </w:tc>
        <w:tc>
          <w:tcPr>
            <w:tcW w:w="1600" w:type="dxa"/>
            <w:vAlign w:val="bottom"/>
          </w:tcPr>
          <w:p>
            <w:pPr>
              <w:spacing w:after="0"/>
              <w:rPr>
                <w:sz w:val="20"/>
                <w:szCs w:val="20"/>
                <w:color w:val="auto"/>
              </w:rPr>
            </w:pPr>
          </w:p>
        </w:tc>
        <w:tc>
          <w:tcPr>
            <w:tcW w:w="80" w:type="dxa"/>
            <w:vAlign w:val="bottom"/>
            <w:tcBorders>
              <w:top w:val="single" w:sz="8" w:color="auto"/>
              <w:bottom w:val="single" w:sz="8" w:color="auto"/>
            </w:tcBorders>
          </w:tcPr>
          <w:p>
            <w:pPr>
              <w:spacing w:after="0"/>
              <w:rPr>
                <w:sz w:val="20"/>
                <w:szCs w:val="20"/>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214,000</w:t>
            </w:r>
          </w:p>
        </w:tc>
        <w:tc>
          <w:tcPr>
            <w:tcW w:w="2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0" w:type="dxa"/>
            <w:vAlign w:val="bottom"/>
            <w:tcBorders>
              <w:top w:val="single" w:sz="8" w:color="auto"/>
              <w:bottom w:val="single" w:sz="8" w:color="auto"/>
            </w:tcBorders>
          </w:tcPr>
          <w:p>
            <w:pPr>
              <w:spacing w:after="0"/>
              <w:rPr>
                <w:sz w:val="20"/>
                <w:szCs w:val="20"/>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658,000</w:t>
            </w:r>
          </w:p>
        </w:tc>
        <w:tc>
          <w:tcPr>
            <w:tcW w:w="100" w:type="dxa"/>
            <w:vAlign w:val="bottom"/>
          </w:tcPr>
          <w:p>
            <w:pPr>
              <w:spacing w:after="0"/>
              <w:rPr>
                <w:sz w:val="20"/>
                <w:szCs w:val="20"/>
                <w:color w:val="auto"/>
              </w:rPr>
            </w:pPr>
          </w:p>
        </w:tc>
      </w:tr>
      <w:tr>
        <w:trPr>
          <w:trHeight w:val="216"/>
        </w:trPr>
        <w:tc>
          <w:tcPr>
            <w:tcW w:w="20" w:type="dxa"/>
            <w:vAlign w:val="bottom"/>
          </w:tcPr>
          <w:p>
            <w:pPr>
              <w:spacing w:after="0"/>
              <w:rPr>
                <w:sz w:val="18"/>
                <w:szCs w:val="18"/>
                <w:color w:val="auto"/>
              </w:rPr>
            </w:pPr>
          </w:p>
        </w:tc>
        <w:tc>
          <w:tcPr>
            <w:tcW w:w="4380" w:type="dxa"/>
            <w:vAlign w:val="bottom"/>
            <w:shd w:val="clear" w:color="auto" w:fill="CCEEFF"/>
          </w:tcPr>
          <w:p>
            <w:pPr>
              <w:spacing w:after="0"/>
              <w:rPr>
                <w:sz w:val="20"/>
                <w:szCs w:val="20"/>
                <w:color w:val="auto"/>
              </w:rPr>
            </w:pPr>
            <w:r>
              <w:rPr>
                <w:rFonts w:ascii="Arial" w:cs="Arial" w:eastAsia="Arial" w:hAnsi="Arial"/>
                <w:sz w:val="18"/>
                <w:szCs w:val="18"/>
                <w:color w:val="auto"/>
              </w:rPr>
              <w:t>Deferred Tax liabilities</w:t>
            </w:r>
          </w:p>
        </w:tc>
        <w:tc>
          <w:tcPr>
            <w:tcW w:w="16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380" w:type="dxa"/>
            <w:vAlign w:val="bottom"/>
          </w:tcPr>
          <w:p>
            <w:pPr>
              <w:ind w:left="340"/>
              <w:spacing w:after="0"/>
              <w:rPr>
                <w:sz w:val="20"/>
                <w:szCs w:val="20"/>
                <w:color w:val="auto"/>
              </w:rPr>
            </w:pPr>
            <w:r>
              <w:rPr>
                <w:rFonts w:ascii="Arial" w:cs="Arial" w:eastAsia="Arial" w:hAnsi="Arial"/>
                <w:sz w:val="18"/>
                <w:szCs w:val="18"/>
                <w:color w:val="auto"/>
              </w:rPr>
              <w:t>Depreciation &amp; amortization</w:t>
            </w:r>
          </w:p>
        </w:tc>
        <w:tc>
          <w:tcPr>
            <w:tcW w:w="16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80" w:type="dxa"/>
            <w:vAlign w:val="bottom"/>
            <w:gridSpan w:val="2"/>
          </w:tcPr>
          <w:p>
            <w:pPr>
              <w:jc w:val="right"/>
              <w:ind w:right="240"/>
              <w:spacing w:after="0"/>
              <w:rPr>
                <w:sz w:val="20"/>
                <w:szCs w:val="20"/>
                <w:color w:val="auto"/>
              </w:rPr>
            </w:pPr>
            <w:r>
              <w:rPr>
                <w:rFonts w:ascii="Arial" w:cs="Arial" w:eastAsia="Arial" w:hAnsi="Arial"/>
                <w:sz w:val="18"/>
                <w:szCs w:val="18"/>
                <w:color w:val="auto"/>
              </w:rPr>
              <w:t>(131,000)</w:t>
            </w: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00" w:type="dxa"/>
            <w:vAlign w:val="bottom"/>
            <w:gridSpan w:val="2"/>
          </w:tcPr>
          <w:p>
            <w:pPr>
              <w:jc w:val="right"/>
              <w:ind w:right="40"/>
              <w:spacing w:after="0"/>
              <w:rPr>
                <w:sz w:val="20"/>
                <w:szCs w:val="20"/>
                <w:color w:val="auto"/>
              </w:rPr>
            </w:pPr>
            <w:r>
              <w:rPr>
                <w:rFonts w:ascii="Arial" w:cs="Arial" w:eastAsia="Arial" w:hAnsi="Arial"/>
                <w:sz w:val="18"/>
                <w:szCs w:val="18"/>
                <w:color w:val="auto"/>
              </w:rPr>
              <w:t>(658,000)</w:t>
            </w:r>
          </w:p>
        </w:tc>
      </w:tr>
      <w:tr>
        <w:trPr>
          <w:trHeight w:val="216"/>
        </w:trPr>
        <w:tc>
          <w:tcPr>
            <w:tcW w:w="20" w:type="dxa"/>
            <w:vAlign w:val="bottom"/>
          </w:tcPr>
          <w:p>
            <w:pPr>
              <w:spacing w:after="0"/>
              <w:rPr>
                <w:sz w:val="18"/>
                <w:szCs w:val="18"/>
                <w:color w:val="auto"/>
              </w:rPr>
            </w:pPr>
          </w:p>
        </w:tc>
        <w:tc>
          <w:tcPr>
            <w:tcW w:w="43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Deferred Revenue</w:t>
            </w:r>
          </w:p>
        </w:tc>
        <w:tc>
          <w:tcPr>
            <w:tcW w:w="16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(83,000)</w:t>
            </w:r>
          </w:p>
        </w:tc>
        <w:tc>
          <w:tcPr>
            <w:tcW w:w="2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30"/>
        </w:trPr>
        <w:tc>
          <w:tcPr>
            <w:tcW w:w="20" w:type="dxa"/>
            <w:vAlign w:val="bottom"/>
          </w:tcPr>
          <w:p>
            <w:pPr>
              <w:spacing w:after="0"/>
              <w:rPr>
                <w:sz w:val="20"/>
                <w:szCs w:val="20"/>
                <w:color w:val="auto"/>
              </w:rPr>
            </w:pPr>
          </w:p>
        </w:tc>
        <w:tc>
          <w:tcPr>
            <w:tcW w:w="4380" w:type="dxa"/>
            <w:vAlign w:val="bottom"/>
          </w:tcPr>
          <w:p>
            <w:pPr>
              <w:ind w:left="700"/>
              <w:spacing w:after="0"/>
              <w:rPr>
                <w:sz w:val="20"/>
                <w:szCs w:val="20"/>
                <w:color w:val="auto"/>
              </w:rPr>
            </w:pPr>
            <w:r>
              <w:rPr>
                <w:rFonts w:ascii="Arial" w:cs="Arial" w:eastAsia="Arial" w:hAnsi="Arial"/>
                <w:sz w:val="18"/>
                <w:szCs w:val="18"/>
                <w:color w:val="auto"/>
              </w:rPr>
              <w:t>Total deferred tax liabilities</w:t>
            </w:r>
          </w:p>
        </w:tc>
        <w:tc>
          <w:tcPr>
            <w:tcW w:w="1600" w:type="dxa"/>
            <w:vAlign w:val="bottom"/>
          </w:tcPr>
          <w:p>
            <w:pPr>
              <w:spacing w:after="0"/>
              <w:rPr>
                <w:sz w:val="20"/>
                <w:szCs w:val="20"/>
                <w:color w:val="auto"/>
              </w:rPr>
            </w:pPr>
          </w:p>
        </w:tc>
        <w:tc>
          <w:tcPr>
            <w:tcW w:w="80" w:type="dxa"/>
            <w:vAlign w:val="bottom"/>
            <w:tcBorders>
              <w:top w:val="single" w:sz="8" w:color="auto"/>
              <w:bottom w:val="single" w:sz="8" w:color="auto"/>
            </w:tcBorders>
          </w:tcPr>
          <w:p>
            <w:pPr>
              <w:spacing w:after="0"/>
              <w:rPr>
                <w:sz w:val="20"/>
                <w:szCs w:val="20"/>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(214,000)</w:t>
            </w:r>
          </w:p>
        </w:tc>
        <w:tc>
          <w:tcPr>
            <w:tcW w:w="2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0" w:type="dxa"/>
            <w:vAlign w:val="bottom"/>
            <w:tcBorders>
              <w:top w:val="single" w:sz="8" w:color="auto"/>
              <w:bottom w:val="single" w:sz="8" w:color="auto"/>
            </w:tcBorders>
          </w:tcPr>
          <w:p>
            <w:pPr>
              <w:spacing w:after="0"/>
              <w:rPr>
                <w:sz w:val="20"/>
                <w:szCs w:val="20"/>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(658,000)</w:t>
            </w:r>
          </w:p>
        </w:tc>
        <w:tc>
          <w:tcPr>
            <w:tcW w:w="100" w:type="dxa"/>
            <w:vAlign w:val="bottom"/>
          </w:tcPr>
          <w:p>
            <w:pPr>
              <w:spacing w:after="0"/>
              <w:rPr>
                <w:sz w:val="20"/>
                <w:szCs w:val="20"/>
                <w:color w:val="auto"/>
              </w:rPr>
            </w:pPr>
          </w:p>
        </w:tc>
      </w:tr>
      <w:tr>
        <w:trPr>
          <w:trHeight w:val="216"/>
        </w:trPr>
        <w:tc>
          <w:tcPr>
            <w:tcW w:w="20" w:type="dxa"/>
            <w:vAlign w:val="bottom"/>
          </w:tcPr>
          <w:p>
            <w:pPr>
              <w:spacing w:after="0"/>
              <w:rPr>
                <w:sz w:val="18"/>
                <w:szCs w:val="18"/>
                <w:color w:val="auto"/>
              </w:rPr>
            </w:pPr>
          </w:p>
        </w:tc>
        <w:tc>
          <w:tcPr>
            <w:tcW w:w="4380" w:type="dxa"/>
            <w:vAlign w:val="bottom"/>
            <w:shd w:val="clear" w:color="auto" w:fill="CCEEFF"/>
          </w:tcPr>
          <w:p>
            <w:pPr>
              <w:ind w:left="700"/>
              <w:spacing w:after="0"/>
              <w:rPr>
                <w:sz w:val="20"/>
                <w:szCs w:val="20"/>
                <w:color w:val="auto"/>
              </w:rPr>
            </w:pPr>
            <w:r>
              <w:rPr>
                <w:rFonts w:ascii="Arial" w:cs="Arial" w:eastAsia="Arial" w:hAnsi="Arial"/>
                <w:sz w:val="18"/>
                <w:szCs w:val="18"/>
                <w:color w:val="auto"/>
              </w:rPr>
              <w:t>Net deferred tax assets</w:t>
            </w:r>
          </w:p>
        </w:tc>
        <w:tc>
          <w:tcPr>
            <w:tcW w:w="16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w:t>
            </w:r>
          </w:p>
        </w:tc>
        <w:tc>
          <w:tcPr>
            <w:tcW w:w="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r>
      <w:tr>
        <w:trPr>
          <w:trHeight w:val="20"/>
        </w:trPr>
        <w:tc>
          <w:tcPr>
            <w:tcW w:w="20" w:type="dxa"/>
            <w:vAlign w:val="bottom"/>
          </w:tcPr>
          <w:p>
            <w:pPr>
              <w:spacing w:after="0" w:line="20" w:lineRule="exact"/>
              <w:rPr>
                <w:sz w:val="1"/>
                <w:szCs w:val="1"/>
                <w:color w:val="auto"/>
              </w:rPr>
            </w:pPr>
          </w:p>
        </w:tc>
        <w:tc>
          <w:tcPr>
            <w:tcW w:w="438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4320540</wp:posOffset>
            </wp:positionH>
            <wp:positionV relativeFrom="paragraph">
              <wp:posOffset>-179705</wp:posOffset>
            </wp:positionV>
            <wp:extent cx="26035" cy="889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26035" cy="8890"/>
                    </a:xfrm>
                    <a:prstGeom prst="rect">
                      <a:avLst/>
                    </a:prstGeom>
                    <a:noFill/>
                  </pic:spPr>
                </pic:pic>
              </a:graphicData>
            </a:graphic>
          </wp:anchor>
        </w:drawing>
        <w:drawing>
          <wp:anchor simplePos="0" relativeHeight="251657728" behindDoc="1" locked="0" layoutInCell="0" allowOverlap="1">
            <wp:simplePos x="0" y="0"/>
            <wp:positionH relativeFrom="column">
              <wp:posOffset>4320540</wp:posOffset>
            </wp:positionH>
            <wp:positionV relativeFrom="paragraph">
              <wp:posOffset>-25400</wp:posOffset>
            </wp:positionV>
            <wp:extent cx="26035" cy="889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26035" cy="8890"/>
                    </a:xfrm>
                    <a:prstGeom prst="rect">
                      <a:avLst/>
                    </a:prstGeom>
                    <a:noFill/>
                  </pic:spPr>
                </pic:pic>
              </a:graphicData>
            </a:graphic>
          </wp:anchor>
        </w:drawing>
        <w:drawing>
          <wp:anchor simplePos="0" relativeHeight="251657728" behindDoc="1" locked="0" layoutInCell="0" allowOverlap="1">
            <wp:simplePos x="0" y="0"/>
            <wp:positionH relativeFrom="column">
              <wp:posOffset>4320540</wp:posOffset>
            </wp:positionH>
            <wp:positionV relativeFrom="paragraph">
              <wp:posOffset>-8255</wp:posOffset>
            </wp:positionV>
            <wp:extent cx="26035" cy="889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26035" cy="8890"/>
                    </a:xfrm>
                    <a:prstGeom prst="rect">
                      <a:avLst/>
                    </a:prstGeom>
                    <a:noFill/>
                  </pic:spPr>
                </pic:pic>
              </a:graphicData>
            </a:graphic>
          </wp:anchor>
        </w:drawing>
      </w:r>
    </w:p>
    <w:p>
      <w:pPr>
        <w:spacing w:after="0" w:line="87" w:lineRule="exact"/>
        <w:rPr>
          <w:sz w:val="20"/>
          <w:szCs w:val="20"/>
          <w:color w:val="auto"/>
        </w:rPr>
      </w:pPr>
    </w:p>
    <w:p>
      <w:pPr>
        <w:ind w:left="440" w:right="40"/>
        <w:spacing w:after="0" w:line="259" w:lineRule="auto"/>
        <w:rPr>
          <w:sz w:val="20"/>
          <w:szCs w:val="20"/>
          <w:color w:val="auto"/>
        </w:rPr>
      </w:pPr>
      <w:r>
        <w:rPr>
          <w:rFonts w:ascii="Arial" w:cs="Arial" w:eastAsia="Arial" w:hAnsi="Arial"/>
          <w:sz w:val="18"/>
          <w:szCs w:val="18"/>
          <w:color w:val="auto"/>
        </w:rPr>
        <w:t>The Company has concluded it is more likely than not that all future tax benefits will not be fully realized and has provided a full 100% valuation allowance against its net deferred tax assets. As of March 31, 2018 the valuation allowance decreased by $1,209,000 which is predominantly driven by the change in U.S. tax rate from 35% to 21% and the revaluation of the Company’s deferred taxes. In contrast, the valuation allowance increased by $253,000 in the year ended March 31, 2017.</w:t>
      </w:r>
    </w:p>
    <w:p>
      <w:pPr>
        <w:spacing w:after="0" w:line="79" w:lineRule="exact"/>
        <w:rPr>
          <w:sz w:val="20"/>
          <w:szCs w:val="20"/>
          <w:color w:val="auto"/>
        </w:rPr>
      </w:pPr>
    </w:p>
    <w:p>
      <w:pPr>
        <w:ind w:left="440" w:right="460"/>
        <w:spacing w:after="0" w:line="277" w:lineRule="auto"/>
        <w:rPr>
          <w:sz w:val="20"/>
          <w:szCs w:val="20"/>
          <w:color w:val="auto"/>
        </w:rPr>
      </w:pPr>
      <w:r>
        <w:rPr>
          <w:rFonts w:ascii="Arial" w:cs="Arial" w:eastAsia="Arial" w:hAnsi="Arial"/>
          <w:sz w:val="18"/>
          <w:szCs w:val="18"/>
          <w:color w:val="auto"/>
        </w:rPr>
        <w:t>The effective tax rate of the Company’s provision for income taxes differs from the federal statutory rate due to the effect of a full valuation allowance.</w:t>
      </w:r>
    </w:p>
    <w:p>
      <w:pPr>
        <w:spacing w:after="0" w:line="62" w:lineRule="exact"/>
        <w:rPr>
          <w:sz w:val="20"/>
          <w:szCs w:val="20"/>
          <w:color w:val="auto"/>
        </w:rPr>
      </w:pPr>
    </w:p>
    <w:p>
      <w:pPr>
        <w:ind w:left="440"/>
        <w:spacing w:after="0" w:line="293" w:lineRule="auto"/>
        <w:rPr>
          <w:sz w:val="20"/>
          <w:szCs w:val="20"/>
          <w:color w:val="auto"/>
        </w:rPr>
      </w:pPr>
      <w:r>
        <w:rPr>
          <w:rFonts w:ascii="Arial" w:cs="Arial" w:eastAsia="Arial" w:hAnsi="Arial"/>
          <w:sz w:val="16"/>
          <w:szCs w:val="16"/>
          <w:color w:val="auto"/>
        </w:rPr>
        <w:t>The Company’s 2011 through 2016 federal income tax returns remain open to examination by the IRS. The Company’s state income tax returns from 2011 through 2016 remain open to examination. The United States and many states have statutes of limitation ranging from 3 to 5 years, however, those statutes could be extended due to the Company’s net operating loss carryforward positions in a number of the Company’s tax jurisdictions. In general, tax authorities have the ability to review income tax returns for loss periods in which the statute of limitation has previously expired to adjust the net operating loss carryforward in those years. The Company’s 2015 – 2017 United Kingdom returns remain open to examination by the local tax authorities. The Company’s 2017 Singapore return remains open to examination by the local tax authorities.</w:t>
      </w:r>
    </w:p>
    <w:p>
      <w:pPr>
        <w:spacing w:after="0" w:line="57" w:lineRule="exact"/>
        <w:rPr>
          <w:sz w:val="20"/>
          <w:szCs w:val="20"/>
          <w:color w:val="auto"/>
        </w:rPr>
      </w:pPr>
    </w:p>
    <w:p>
      <w:pPr>
        <w:ind w:left="440" w:right="40"/>
        <w:spacing w:after="0" w:line="264" w:lineRule="auto"/>
        <w:rPr>
          <w:sz w:val="20"/>
          <w:szCs w:val="20"/>
          <w:color w:val="auto"/>
        </w:rPr>
      </w:pPr>
      <w:r>
        <w:rPr>
          <w:rFonts w:ascii="Arial" w:cs="Arial" w:eastAsia="Arial" w:hAnsi="Arial"/>
          <w:sz w:val="18"/>
          <w:szCs w:val="18"/>
          <w:color w:val="auto"/>
        </w:rPr>
        <w:t>The Company does not believe that it is reasonably possible that the unrecognized tax benefits as of March 31, 2018 will decrease within the next twelve months as a result of the resolution of tax exposures. No amounts of interest and penalties are were recognized in the Company’s consolidated financial statements for the years March 31, 2018 and 2017, respectively.</w:t>
      </w:r>
    </w:p>
    <w:p>
      <w:pPr>
        <w:spacing w:after="0" w:line="114"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0980"/>
          </w:cols>
          <w:pgMar w:left="440" w:top="270" w:right="479" w:bottom="1440" w:gutter="0" w:footer="0" w:header="0"/>
        </w:sectPr>
      </w:pPr>
    </w:p>
    <w:bookmarkStart w:id="18" w:name="page19"/>
    <w:bookmarkEnd w:id="18"/>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SiriusDecisions, Inc. and Subsidiaries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March 31, 2018 and 2017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14605</wp:posOffset>
            </wp:positionV>
            <wp:extent cx="6997700" cy="889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6997700" cy="8890"/>
                    </a:xfrm>
                    <a:prstGeom prst="rect">
                      <a:avLst/>
                    </a:prstGeom>
                    <a:noFill/>
                  </pic:spPr>
                </pic:pic>
              </a:graphicData>
            </a:graphic>
          </wp:anchor>
        </w:drawing>
      </w:r>
    </w:p>
    <w:p>
      <w:pPr>
        <w:spacing w:after="0" w:line="191" w:lineRule="exact"/>
        <w:rPr>
          <w:sz w:val="20"/>
          <w:szCs w:val="20"/>
          <w:color w:val="auto"/>
        </w:rPr>
      </w:pPr>
    </w:p>
    <w:p>
      <w:pPr>
        <w:jc w:val="both"/>
        <w:ind w:left="440" w:right="100"/>
        <w:spacing w:after="0" w:line="259" w:lineRule="auto"/>
        <w:rPr>
          <w:sz w:val="20"/>
          <w:szCs w:val="20"/>
          <w:color w:val="auto"/>
        </w:rPr>
      </w:pPr>
      <w:r>
        <w:rPr>
          <w:rFonts w:ascii="Arial" w:cs="Arial" w:eastAsia="Arial" w:hAnsi="Arial"/>
          <w:sz w:val="18"/>
          <w:szCs w:val="18"/>
          <w:color w:val="auto"/>
        </w:rPr>
        <w:t>The amount of unrecognized tax benefits, if settled, would impact the effective tax rate by $0 and $0 as of March 31, 2018 and 2017 respectively. The Company does not believe it is reasonably possible that the unrecognized benefits will decrease within the next twelve months as a result of the resolution of tax exposures. No amounts of interest and penalties were recognized in the consolidated financial statements for the year ended March 31, 2018 and 2017, respectively.</w:t>
      </w:r>
    </w:p>
    <w:p>
      <w:pPr>
        <w:spacing w:after="0" w:line="331" w:lineRule="exact"/>
        <w:rPr>
          <w:sz w:val="20"/>
          <w:szCs w:val="20"/>
          <w:color w:val="auto"/>
        </w:rPr>
      </w:pPr>
    </w:p>
    <w:p>
      <w:pPr>
        <w:ind w:left="440" w:hanging="436"/>
        <w:spacing w:after="0"/>
        <w:tabs>
          <w:tab w:leader="none" w:pos="440" w:val="left"/>
        </w:tabs>
        <w:numPr>
          <w:ilvl w:val="0"/>
          <w:numId w:val="8"/>
        </w:numPr>
        <w:rPr>
          <w:rFonts w:ascii="Arial" w:cs="Arial" w:eastAsia="Arial" w:hAnsi="Arial"/>
          <w:sz w:val="18"/>
          <w:szCs w:val="18"/>
          <w:b w:val="1"/>
          <w:bCs w:val="1"/>
          <w:color w:val="auto"/>
        </w:rPr>
      </w:pPr>
      <w:r>
        <w:rPr>
          <w:rFonts w:ascii="Arial" w:cs="Arial" w:eastAsia="Arial" w:hAnsi="Arial"/>
          <w:sz w:val="18"/>
          <w:szCs w:val="18"/>
          <w:b w:val="1"/>
          <w:bCs w:val="1"/>
          <w:color w:val="auto"/>
        </w:rPr>
        <w:t>Retirement Plan</w:t>
      </w:r>
    </w:p>
    <w:p>
      <w:pPr>
        <w:spacing w:after="0" w:line="121" w:lineRule="exact"/>
        <w:rPr>
          <w:rFonts w:ascii="Arial" w:cs="Arial" w:eastAsia="Arial" w:hAnsi="Arial"/>
          <w:sz w:val="18"/>
          <w:szCs w:val="18"/>
          <w:b w:val="1"/>
          <w:bCs w:val="1"/>
          <w:color w:val="auto"/>
        </w:rPr>
      </w:pPr>
    </w:p>
    <w:p>
      <w:pPr>
        <w:ind w:left="440" w:right="420"/>
        <w:spacing w:after="0" w:line="291" w:lineRule="auto"/>
        <w:rPr>
          <w:rFonts w:ascii="Arial" w:cs="Arial" w:eastAsia="Arial" w:hAnsi="Arial"/>
          <w:sz w:val="18"/>
          <w:szCs w:val="18"/>
          <w:b w:val="1"/>
          <w:bCs w:val="1"/>
          <w:color w:val="auto"/>
        </w:rPr>
      </w:pPr>
      <w:r>
        <w:rPr>
          <w:rFonts w:ascii="Arial" w:cs="Arial" w:eastAsia="Arial" w:hAnsi="Arial"/>
          <w:sz w:val="16"/>
          <w:szCs w:val="16"/>
          <w:color w:val="auto"/>
        </w:rPr>
        <w:t>The Company has a defined contribution 401(k) plan which covers all eligible employees. Participants may make elective salary deferral contributions to participant directed investment funds. The Company may make matching and discretionary contributions in accordance with</w:t>
      </w:r>
    </w:p>
    <w:p>
      <w:pPr>
        <w:ind w:left="440"/>
        <w:spacing w:after="0" w:line="261" w:lineRule="auto"/>
        <w:rPr>
          <w:rFonts w:ascii="Arial" w:cs="Arial" w:eastAsia="Arial" w:hAnsi="Arial"/>
          <w:sz w:val="18"/>
          <w:szCs w:val="18"/>
          <w:b w:val="1"/>
          <w:bCs w:val="1"/>
          <w:color w:val="auto"/>
        </w:rPr>
      </w:pPr>
      <w:r>
        <w:rPr>
          <w:rFonts w:ascii="Arial" w:cs="Arial" w:eastAsia="Arial" w:hAnsi="Arial"/>
          <w:sz w:val="18"/>
          <w:szCs w:val="18"/>
          <w:color w:val="auto"/>
        </w:rPr>
        <w:t>the plan documents. For the years ended March 31, 2018 and 2017, the Company made approximately $1,464,000 and $1,425,000, respectively, in contributions to the plan.</w:t>
      </w:r>
    </w:p>
    <w:p>
      <w:pPr>
        <w:spacing w:after="0" w:line="328" w:lineRule="exact"/>
        <w:rPr>
          <w:rFonts w:ascii="Arial" w:cs="Arial" w:eastAsia="Arial" w:hAnsi="Arial"/>
          <w:sz w:val="18"/>
          <w:szCs w:val="18"/>
          <w:b w:val="1"/>
          <w:bCs w:val="1"/>
          <w:color w:val="auto"/>
        </w:rPr>
      </w:pPr>
    </w:p>
    <w:p>
      <w:pPr>
        <w:ind w:left="440" w:right="8040" w:hanging="436"/>
        <w:spacing w:after="0" w:line="425" w:lineRule="auto"/>
        <w:tabs>
          <w:tab w:leader="none" w:pos="432" w:val="left"/>
        </w:tabs>
        <w:numPr>
          <w:ilvl w:val="0"/>
          <w:numId w:val="8"/>
        </w:numPr>
        <w:rPr>
          <w:rFonts w:ascii="Arial" w:cs="Arial" w:eastAsia="Arial" w:hAnsi="Arial"/>
          <w:sz w:val="16"/>
          <w:szCs w:val="16"/>
          <w:b w:val="1"/>
          <w:bCs w:val="1"/>
          <w:color w:val="auto"/>
        </w:rPr>
      </w:pPr>
      <w:r>
        <w:rPr>
          <w:rFonts w:ascii="Arial" w:cs="Arial" w:eastAsia="Arial" w:hAnsi="Arial"/>
          <w:sz w:val="16"/>
          <w:szCs w:val="16"/>
          <w:b w:val="1"/>
          <w:bCs w:val="1"/>
          <w:color w:val="auto"/>
        </w:rPr>
        <w:t>Commitments and Contingencies Operating Leases</w:t>
      </w:r>
    </w:p>
    <w:p>
      <w:pPr>
        <w:ind w:left="440" w:right="280"/>
        <w:spacing w:after="0" w:line="259" w:lineRule="auto"/>
        <w:rPr>
          <w:rFonts w:ascii="Arial" w:cs="Arial" w:eastAsia="Arial" w:hAnsi="Arial"/>
          <w:sz w:val="16"/>
          <w:szCs w:val="16"/>
          <w:b w:val="1"/>
          <w:bCs w:val="1"/>
          <w:color w:val="auto"/>
        </w:rPr>
      </w:pPr>
      <w:r>
        <w:rPr>
          <w:rFonts w:ascii="Arial" w:cs="Arial" w:eastAsia="Arial" w:hAnsi="Arial"/>
          <w:sz w:val="18"/>
          <w:szCs w:val="18"/>
          <w:color w:val="auto"/>
        </w:rPr>
        <w:t>The Company leases office space under operating leases that expire through April 31, 2027. The Company’s leases have escalation clauses and rent expense is recognized on a straight-line basis. The difference between rent paid and the rent expense reported in the financial statements is recorded as deferred rent payable. Deferred rent payable amounts to approximately $538,509 and $178,000 as of March 31, 2018 and 2017, respectively.</w:t>
      </w:r>
    </w:p>
    <w:p>
      <w:pPr>
        <w:spacing w:after="0" w:line="78" w:lineRule="exact"/>
        <w:rPr>
          <w:rFonts w:ascii="Arial" w:cs="Arial" w:eastAsia="Arial" w:hAnsi="Arial"/>
          <w:sz w:val="16"/>
          <w:szCs w:val="16"/>
          <w:b w:val="1"/>
          <w:bCs w:val="1"/>
          <w:color w:val="auto"/>
        </w:rPr>
      </w:pPr>
    </w:p>
    <w:p>
      <w:pPr>
        <w:ind w:left="440"/>
        <w:spacing w:after="0"/>
        <w:rPr>
          <w:rFonts w:ascii="Arial" w:cs="Arial" w:eastAsia="Arial" w:hAnsi="Arial"/>
          <w:sz w:val="16"/>
          <w:szCs w:val="16"/>
          <w:b w:val="1"/>
          <w:bCs w:val="1"/>
          <w:color w:val="auto"/>
        </w:rPr>
      </w:pPr>
      <w:r>
        <w:rPr>
          <w:rFonts w:ascii="Arial" w:cs="Arial" w:eastAsia="Arial" w:hAnsi="Arial"/>
          <w:sz w:val="18"/>
          <w:szCs w:val="18"/>
          <w:color w:val="auto"/>
        </w:rPr>
        <w:t>Minimum rental commitments at March 31, 2018 under the noncancellable operating lease are approximately as follows:</w:t>
      </w:r>
    </w:p>
    <w:p>
      <w:pPr>
        <w:spacing w:after="0" w:line="244" w:lineRule="exact"/>
        <w:rPr>
          <w:sz w:val="20"/>
          <w:szCs w:val="20"/>
          <w:color w:val="auto"/>
        </w:rPr>
      </w:pPr>
    </w:p>
    <w:tbl>
      <w:tblPr>
        <w:tblLayout w:type="fixed"/>
        <w:tblInd w:w="1780" w:type="dxa"/>
        <w:tblCellMar>
          <w:top w:w="0" w:type="dxa"/>
          <w:left w:w="0" w:type="dxa"/>
          <w:bottom w:w="0" w:type="dxa"/>
          <w:right w:w="0" w:type="dxa"/>
        </w:tblCellMar>
      </w:tblPr>
      <w:tr>
        <w:trPr>
          <w:trHeight w:val="171"/>
        </w:trPr>
        <w:tc>
          <w:tcPr>
            <w:tcW w:w="4040" w:type="dxa"/>
            <w:vAlign w:val="bottom"/>
          </w:tcPr>
          <w:p>
            <w:pPr>
              <w:spacing w:after="0"/>
              <w:rPr>
                <w:sz w:val="20"/>
                <w:szCs w:val="20"/>
                <w:color w:val="auto"/>
              </w:rPr>
            </w:pPr>
            <w:r>
              <w:rPr>
                <w:rFonts w:ascii="Arial" w:cs="Arial" w:eastAsia="Arial" w:hAnsi="Arial"/>
                <w:sz w:val="14"/>
                <w:szCs w:val="14"/>
                <w:b w:val="1"/>
                <w:bCs w:val="1"/>
                <w:color w:val="auto"/>
              </w:rPr>
              <w:t>Years Ending March 31,</w:t>
            </w:r>
          </w:p>
        </w:tc>
        <w:tc>
          <w:tcPr>
            <w:tcW w:w="25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60" w:type="dxa"/>
            <w:vAlign w:val="bottom"/>
          </w:tcPr>
          <w:p>
            <w:pPr>
              <w:spacing w:after="0"/>
              <w:rPr>
                <w:sz w:val="14"/>
                <w:szCs w:val="14"/>
                <w:color w:val="auto"/>
              </w:rPr>
            </w:pPr>
          </w:p>
        </w:tc>
      </w:tr>
      <w:tr>
        <w:trPr>
          <w:trHeight w:val="216"/>
        </w:trPr>
        <w:tc>
          <w:tcPr>
            <w:tcW w:w="4040" w:type="dxa"/>
            <w:vAlign w:val="bottom"/>
            <w:shd w:val="clear" w:color="auto" w:fill="CCEEFF"/>
          </w:tcPr>
          <w:p>
            <w:pPr>
              <w:spacing w:after="0"/>
              <w:rPr>
                <w:sz w:val="20"/>
                <w:szCs w:val="20"/>
                <w:color w:val="auto"/>
              </w:rPr>
            </w:pPr>
            <w:r>
              <w:rPr>
                <w:rFonts w:ascii="Arial" w:cs="Arial" w:eastAsia="Arial" w:hAnsi="Arial"/>
                <w:sz w:val="18"/>
                <w:szCs w:val="18"/>
                <w:color w:val="auto"/>
              </w:rPr>
              <w:t>2019</w:t>
            </w:r>
          </w:p>
        </w:tc>
        <w:tc>
          <w:tcPr>
            <w:tcW w:w="33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$2,189,000</w:t>
            </w:r>
          </w:p>
        </w:tc>
        <w:tc>
          <w:tcPr>
            <w:tcW w:w="60" w:type="dxa"/>
            <w:vAlign w:val="bottom"/>
            <w:shd w:val="clear" w:color="auto" w:fill="CCEEFF"/>
          </w:tcPr>
          <w:p>
            <w:pPr>
              <w:spacing w:after="0"/>
              <w:rPr>
                <w:sz w:val="18"/>
                <w:szCs w:val="18"/>
                <w:color w:val="auto"/>
              </w:rPr>
            </w:pPr>
          </w:p>
        </w:tc>
      </w:tr>
      <w:tr>
        <w:trPr>
          <w:trHeight w:val="216"/>
        </w:trPr>
        <w:tc>
          <w:tcPr>
            <w:tcW w:w="4040" w:type="dxa"/>
            <w:vAlign w:val="bottom"/>
          </w:tcPr>
          <w:p>
            <w:pPr>
              <w:spacing w:after="0"/>
              <w:rPr>
                <w:sz w:val="20"/>
                <w:szCs w:val="20"/>
                <w:color w:val="auto"/>
              </w:rPr>
            </w:pPr>
            <w:r>
              <w:rPr>
                <w:rFonts w:ascii="Arial" w:cs="Arial" w:eastAsia="Arial" w:hAnsi="Arial"/>
                <w:sz w:val="18"/>
                <w:szCs w:val="18"/>
                <w:color w:val="auto"/>
              </w:rPr>
              <w:t>2020</w:t>
            </w:r>
          </w:p>
        </w:tc>
        <w:tc>
          <w:tcPr>
            <w:tcW w:w="3380" w:type="dxa"/>
            <w:vAlign w:val="bottom"/>
            <w:gridSpan w:val="2"/>
          </w:tcPr>
          <w:p>
            <w:pPr>
              <w:jc w:val="right"/>
              <w:spacing w:after="0"/>
              <w:rPr>
                <w:sz w:val="20"/>
                <w:szCs w:val="20"/>
                <w:color w:val="auto"/>
              </w:rPr>
            </w:pPr>
            <w:r>
              <w:rPr>
                <w:rFonts w:ascii="Arial" w:cs="Arial" w:eastAsia="Arial" w:hAnsi="Arial"/>
                <w:sz w:val="18"/>
                <w:szCs w:val="18"/>
                <w:color w:val="auto"/>
              </w:rPr>
              <w:t>1,957,000</w:t>
            </w:r>
          </w:p>
        </w:tc>
        <w:tc>
          <w:tcPr>
            <w:tcW w:w="60" w:type="dxa"/>
            <w:vAlign w:val="bottom"/>
          </w:tcPr>
          <w:p>
            <w:pPr>
              <w:spacing w:after="0"/>
              <w:rPr>
                <w:sz w:val="18"/>
                <w:szCs w:val="18"/>
                <w:color w:val="auto"/>
              </w:rPr>
            </w:pPr>
          </w:p>
        </w:tc>
      </w:tr>
      <w:tr>
        <w:trPr>
          <w:trHeight w:val="216"/>
        </w:trPr>
        <w:tc>
          <w:tcPr>
            <w:tcW w:w="4040" w:type="dxa"/>
            <w:vAlign w:val="bottom"/>
            <w:shd w:val="clear" w:color="auto" w:fill="CCEEFF"/>
          </w:tcPr>
          <w:p>
            <w:pPr>
              <w:spacing w:after="0"/>
              <w:rPr>
                <w:sz w:val="20"/>
                <w:szCs w:val="20"/>
                <w:color w:val="auto"/>
              </w:rPr>
            </w:pPr>
            <w:r>
              <w:rPr>
                <w:rFonts w:ascii="Arial" w:cs="Arial" w:eastAsia="Arial" w:hAnsi="Arial"/>
                <w:sz w:val="18"/>
                <w:szCs w:val="18"/>
                <w:color w:val="auto"/>
              </w:rPr>
              <w:t>2021</w:t>
            </w:r>
          </w:p>
        </w:tc>
        <w:tc>
          <w:tcPr>
            <w:tcW w:w="33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973,000</w:t>
            </w:r>
          </w:p>
        </w:tc>
        <w:tc>
          <w:tcPr>
            <w:tcW w:w="60" w:type="dxa"/>
            <w:vAlign w:val="bottom"/>
            <w:shd w:val="clear" w:color="auto" w:fill="CCEEFF"/>
          </w:tcPr>
          <w:p>
            <w:pPr>
              <w:spacing w:after="0"/>
              <w:rPr>
                <w:sz w:val="18"/>
                <w:szCs w:val="18"/>
                <w:color w:val="auto"/>
              </w:rPr>
            </w:pPr>
          </w:p>
        </w:tc>
      </w:tr>
      <w:tr>
        <w:trPr>
          <w:trHeight w:val="216"/>
        </w:trPr>
        <w:tc>
          <w:tcPr>
            <w:tcW w:w="4040" w:type="dxa"/>
            <w:vAlign w:val="bottom"/>
          </w:tcPr>
          <w:p>
            <w:pPr>
              <w:spacing w:after="0"/>
              <w:rPr>
                <w:sz w:val="20"/>
                <w:szCs w:val="20"/>
                <w:color w:val="auto"/>
              </w:rPr>
            </w:pPr>
            <w:r>
              <w:rPr>
                <w:rFonts w:ascii="Arial" w:cs="Arial" w:eastAsia="Arial" w:hAnsi="Arial"/>
                <w:sz w:val="18"/>
                <w:szCs w:val="18"/>
                <w:color w:val="auto"/>
              </w:rPr>
              <w:t>2022</w:t>
            </w:r>
          </w:p>
        </w:tc>
        <w:tc>
          <w:tcPr>
            <w:tcW w:w="3380" w:type="dxa"/>
            <w:vAlign w:val="bottom"/>
            <w:gridSpan w:val="2"/>
          </w:tcPr>
          <w:p>
            <w:pPr>
              <w:jc w:val="right"/>
              <w:spacing w:after="0"/>
              <w:rPr>
                <w:sz w:val="20"/>
                <w:szCs w:val="20"/>
                <w:color w:val="auto"/>
              </w:rPr>
            </w:pPr>
            <w:r>
              <w:rPr>
                <w:rFonts w:ascii="Arial" w:cs="Arial" w:eastAsia="Arial" w:hAnsi="Arial"/>
                <w:sz w:val="18"/>
                <w:szCs w:val="18"/>
                <w:color w:val="auto"/>
              </w:rPr>
              <w:t>489,000</w:t>
            </w:r>
          </w:p>
        </w:tc>
        <w:tc>
          <w:tcPr>
            <w:tcW w:w="60" w:type="dxa"/>
            <w:vAlign w:val="bottom"/>
          </w:tcPr>
          <w:p>
            <w:pPr>
              <w:spacing w:after="0"/>
              <w:rPr>
                <w:sz w:val="18"/>
                <w:szCs w:val="18"/>
                <w:color w:val="auto"/>
              </w:rPr>
            </w:pPr>
          </w:p>
        </w:tc>
      </w:tr>
      <w:tr>
        <w:trPr>
          <w:trHeight w:val="216"/>
        </w:trPr>
        <w:tc>
          <w:tcPr>
            <w:tcW w:w="4040" w:type="dxa"/>
            <w:vAlign w:val="bottom"/>
            <w:shd w:val="clear" w:color="auto" w:fill="CCEEFF"/>
          </w:tcPr>
          <w:p>
            <w:pPr>
              <w:spacing w:after="0"/>
              <w:rPr>
                <w:sz w:val="20"/>
                <w:szCs w:val="20"/>
                <w:color w:val="auto"/>
              </w:rPr>
            </w:pPr>
            <w:r>
              <w:rPr>
                <w:rFonts w:ascii="Arial" w:cs="Arial" w:eastAsia="Arial" w:hAnsi="Arial"/>
                <w:sz w:val="18"/>
                <w:szCs w:val="18"/>
                <w:color w:val="auto"/>
              </w:rPr>
              <w:t>2023</w:t>
            </w:r>
          </w:p>
        </w:tc>
        <w:tc>
          <w:tcPr>
            <w:tcW w:w="33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365,000</w:t>
            </w:r>
          </w:p>
        </w:tc>
        <w:tc>
          <w:tcPr>
            <w:tcW w:w="60" w:type="dxa"/>
            <w:vAlign w:val="bottom"/>
            <w:shd w:val="clear" w:color="auto" w:fill="CCEEFF"/>
          </w:tcPr>
          <w:p>
            <w:pPr>
              <w:spacing w:after="0"/>
              <w:rPr>
                <w:sz w:val="18"/>
                <w:szCs w:val="18"/>
                <w:color w:val="auto"/>
              </w:rPr>
            </w:pPr>
          </w:p>
        </w:tc>
      </w:tr>
      <w:tr>
        <w:trPr>
          <w:trHeight w:val="223"/>
        </w:trPr>
        <w:tc>
          <w:tcPr>
            <w:tcW w:w="4040" w:type="dxa"/>
            <w:vAlign w:val="bottom"/>
          </w:tcPr>
          <w:p>
            <w:pPr>
              <w:spacing w:after="0"/>
              <w:rPr>
                <w:sz w:val="20"/>
                <w:szCs w:val="20"/>
                <w:color w:val="auto"/>
              </w:rPr>
            </w:pPr>
            <w:r>
              <w:rPr>
                <w:rFonts w:ascii="Arial" w:cs="Arial" w:eastAsia="Arial" w:hAnsi="Arial"/>
                <w:sz w:val="18"/>
                <w:szCs w:val="18"/>
                <w:color w:val="auto"/>
              </w:rPr>
              <w:t>2024</w:t>
            </w:r>
          </w:p>
        </w:tc>
        <w:tc>
          <w:tcPr>
            <w:tcW w:w="2560" w:type="dxa"/>
            <w:vAlign w:val="bottom"/>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186,000</w:t>
            </w:r>
          </w:p>
        </w:tc>
        <w:tc>
          <w:tcPr>
            <w:tcW w:w="60" w:type="dxa"/>
            <w:vAlign w:val="bottom"/>
          </w:tcPr>
          <w:p>
            <w:pPr>
              <w:spacing w:after="0"/>
              <w:rPr>
                <w:sz w:val="19"/>
                <w:szCs w:val="19"/>
                <w:color w:val="auto"/>
              </w:rPr>
            </w:pPr>
          </w:p>
        </w:tc>
      </w:tr>
      <w:tr>
        <w:trPr>
          <w:trHeight w:val="216"/>
        </w:trPr>
        <w:tc>
          <w:tcPr>
            <w:tcW w:w="4040" w:type="dxa"/>
            <w:vAlign w:val="bottom"/>
            <w:shd w:val="clear" w:color="auto" w:fill="CCEEFF"/>
          </w:tcPr>
          <w:p>
            <w:pPr>
              <w:spacing w:after="0"/>
              <w:rPr>
                <w:sz w:val="18"/>
                <w:szCs w:val="18"/>
                <w:color w:val="auto"/>
              </w:rPr>
            </w:pPr>
          </w:p>
        </w:tc>
        <w:tc>
          <w:tcPr>
            <w:tcW w:w="338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6,159,000</w:t>
            </w:r>
          </w:p>
        </w:tc>
        <w:tc>
          <w:tcPr>
            <w:tcW w:w="60" w:type="dxa"/>
            <w:vAlign w:val="bottom"/>
            <w:shd w:val="clear" w:color="auto" w:fill="CCEEFF"/>
          </w:tcPr>
          <w:p>
            <w:pPr>
              <w:spacing w:after="0"/>
              <w:rPr>
                <w:sz w:val="18"/>
                <w:szCs w:val="18"/>
                <w:color w:val="auto"/>
              </w:rPr>
            </w:pPr>
          </w:p>
        </w:tc>
      </w:tr>
      <w:tr>
        <w:trPr>
          <w:trHeight w:val="20"/>
        </w:trPr>
        <w:tc>
          <w:tcPr>
            <w:tcW w:w="4040" w:type="dxa"/>
            <w:vAlign w:val="bottom"/>
          </w:tcPr>
          <w:p>
            <w:pPr>
              <w:spacing w:after="0" w:line="20" w:lineRule="exact"/>
              <w:rPr>
                <w:sz w:val="1"/>
                <w:szCs w:val="1"/>
                <w:color w:val="auto"/>
              </w:rPr>
            </w:pPr>
          </w:p>
        </w:tc>
        <w:tc>
          <w:tcPr>
            <w:tcW w:w="2560" w:type="dxa"/>
            <w:vAlign w:val="bottom"/>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107" w:lineRule="exact"/>
        <w:rPr>
          <w:sz w:val="20"/>
          <w:szCs w:val="20"/>
          <w:color w:val="auto"/>
        </w:rPr>
      </w:pPr>
    </w:p>
    <w:p>
      <w:pPr>
        <w:ind w:left="440"/>
        <w:spacing w:after="0"/>
        <w:rPr>
          <w:sz w:val="20"/>
          <w:szCs w:val="20"/>
          <w:color w:val="auto"/>
        </w:rPr>
      </w:pPr>
      <w:r>
        <w:rPr>
          <w:rFonts w:ascii="Arial" w:cs="Arial" w:eastAsia="Arial" w:hAnsi="Arial"/>
          <w:sz w:val="18"/>
          <w:szCs w:val="18"/>
          <w:color w:val="auto"/>
        </w:rPr>
        <w:t>Rent expense for the years ended March 31, 2018 and 2017 was approximately $2,510,000 and $2,351,000, respectively.</w:t>
      </w:r>
    </w:p>
    <w:p>
      <w:pPr>
        <w:spacing w:after="0" w:line="329" w:lineRule="exact"/>
        <w:rPr>
          <w:sz w:val="20"/>
          <w:szCs w:val="20"/>
          <w:color w:val="auto"/>
        </w:rPr>
      </w:pPr>
    </w:p>
    <w:p>
      <w:pPr>
        <w:ind w:left="440"/>
        <w:spacing w:after="0"/>
        <w:rPr>
          <w:sz w:val="20"/>
          <w:szCs w:val="20"/>
          <w:color w:val="auto"/>
        </w:rPr>
      </w:pPr>
      <w:r>
        <w:rPr>
          <w:rFonts w:ascii="Arial" w:cs="Arial" w:eastAsia="Arial" w:hAnsi="Arial"/>
          <w:sz w:val="18"/>
          <w:szCs w:val="18"/>
          <w:b w:val="1"/>
          <w:bCs w:val="1"/>
          <w:color w:val="auto"/>
        </w:rPr>
        <w:t>Employment Agreements</w:t>
      </w:r>
    </w:p>
    <w:p>
      <w:pPr>
        <w:spacing w:after="0" w:line="121" w:lineRule="exact"/>
        <w:rPr>
          <w:sz w:val="20"/>
          <w:szCs w:val="20"/>
          <w:color w:val="auto"/>
        </w:rPr>
      </w:pPr>
    </w:p>
    <w:p>
      <w:pPr>
        <w:ind w:left="440" w:right="40"/>
        <w:spacing w:after="0" w:line="277" w:lineRule="auto"/>
        <w:rPr>
          <w:sz w:val="20"/>
          <w:szCs w:val="20"/>
          <w:color w:val="auto"/>
        </w:rPr>
      </w:pPr>
      <w:r>
        <w:rPr>
          <w:rFonts w:ascii="Arial" w:cs="Arial" w:eastAsia="Arial" w:hAnsi="Arial"/>
          <w:sz w:val="18"/>
          <w:szCs w:val="18"/>
          <w:color w:val="auto"/>
        </w:rPr>
        <w:t>The Company has employment agreements for four executives which provide for severance in the case of termination without cause, as defined in the agreements.</w:t>
      </w:r>
    </w:p>
    <w:p>
      <w:pPr>
        <w:spacing w:after="0" w:line="275" w:lineRule="exact"/>
        <w:rPr>
          <w:sz w:val="20"/>
          <w:szCs w:val="20"/>
          <w:color w:val="auto"/>
        </w:rPr>
      </w:pPr>
    </w:p>
    <w:p>
      <w:pPr>
        <w:ind w:left="440"/>
        <w:spacing w:after="0"/>
        <w:rPr>
          <w:sz w:val="20"/>
          <w:szCs w:val="20"/>
          <w:color w:val="auto"/>
        </w:rPr>
      </w:pPr>
      <w:r>
        <w:rPr>
          <w:rFonts w:ascii="Arial" w:cs="Arial" w:eastAsia="Arial" w:hAnsi="Arial"/>
          <w:sz w:val="18"/>
          <w:szCs w:val="18"/>
          <w:b w:val="1"/>
          <w:bCs w:val="1"/>
          <w:color w:val="auto"/>
        </w:rPr>
        <w:t>Litigation</w:t>
      </w:r>
    </w:p>
    <w:p>
      <w:pPr>
        <w:spacing w:after="0" w:line="121" w:lineRule="exact"/>
        <w:rPr>
          <w:sz w:val="20"/>
          <w:szCs w:val="20"/>
          <w:color w:val="auto"/>
        </w:rPr>
      </w:pPr>
    </w:p>
    <w:p>
      <w:pPr>
        <w:ind w:left="440"/>
        <w:spacing w:after="0" w:line="264" w:lineRule="auto"/>
        <w:rPr>
          <w:sz w:val="20"/>
          <w:szCs w:val="20"/>
          <w:color w:val="auto"/>
        </w:rPr>
      </w:pPr>
      <w:r>
        <w:rPr>
          <w:rFonts w:ascii="Arial" w:cs="Arial" w:eastAsia="Arial" w:hAnsi="Arial"/>
          <w:sz w:val="18"/>
          <w:szCs w:val="18"/>
          <w:color w:val="auto"/>
        </w:rPr>
        <w:t>The Company is party to various legal actions that arise from the ordinary course of business from time to time. Management believes the ultimate liability that might result from these actions would not have a material adverse effect on the Company’s liquidity, results of operations and financial position.</w:t>
      </w:r>
    </w:p>
    <w:p>
      <w:pPr>
        <w:spacing w:after="0" w:line="1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020"/>
          </w:cols>
          <w:pgMar w:left="440" w:top="270" w:right="439" w:bottom="1440" w:gutter="0" w:footer="0" w:header="0"/>
        </w:sectPr>
      </w:pPr>
    </w:p>
    <w:bookmarkStart w:id="19" w:name="page20"/>
    <w:bookmarkEnd w:id="19"/>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89165" cy="38100"/>
                    </a:xfrm>
                    <a:prstGeom prst="rect">
                      <a:avLst/>
                    </a:prstGeom>
                    <a:noFill/>
                  </pic:spPr>
                </pic:pic>
              </a:graphicData>
            </a:graphic>
          </wp:anchor>
        </w:drawing>
        <w:t>SiriusDecisions, Inc. and Subsidiaries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March 31, 2018 and 2017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14605</wp:posOffset>
            </wp:positionV>
            <wp:extent cx="6997700" cy="889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6997700" cy="8890"/>
                    </a:xfrm>
                    <a:prstGeom prst="rect">
                      <a:avLst/>
                    </a:prstGeom>
                    <a:noFill/>
                  </pic:spPr>
                </pic:pic>
              </a:graphicData>
            </a:graphic>
          </wp:anchor>
        </w:drawing>
      </w:r>
    </w:p>
    <w:p>
      <w:pPr>
        <w:spacing w:after="0" w:line="187" w:lineRule="exact"/>
        <w:rPr>
          <w:sz w:val="20"/>
          <w:szCs w:val="20"/>
          <w:color w:val="auto"/>
        </w:rPr>
      </w:pPr>
    </w:p>
    <w:p>
      <w:pPr>
        <w:ind w:left="440" w:right="8660" w:hanging="436"/>
        <w:spacing w:after="0" w:line="425" w:lineRule="auto"/>
        <w:tabs>
          <w:tab w:leader="none" w:pos="432" w:val="left"/>
        </w:tabs>
        <w:numPr>
          <w:ilvl w:val="0"/>
          <w:numId w:val="9"/>
        </w:numPr>
        <w:rPr>
          <w:rFonts w:ascii="Arial" w:cs="Arial" w:eastAsia="Arial" w:hAnsi="Arial"/>
          <w:sz w:val="16"/>
          <w:szCs w:val="16"/>
          <w:b w:val="1"/>
          <w:bCs w:val="1"/>
          <w:color w:val="auto"/>
        </w:rPr>
      </w:pPr>
      <w:r>
        <w:rPr>
          <w:rFonts w:ascii="Arial" w:cs="Arial" w:eastAsia="Arial" w:hAnsi="Arial"/>
          <w:sz w:val="16"/>
          <w:szCs w:val="16"/>
          <w:b w:val="1"/>
          <w:bCs w:val="1"/>
          <w:color w:val="auto"/>
        </w:rPr>
        <w:t>Stockholders’ Deficiency Corporate Structure</w:t>
      </w:r>
    </w:p>
    <w:p>
      <w:pPr>
        <w:ind w:left="440" w:right="100"/>
        <w:spacing w:after="0" w:line="312" w:lineRule="auto"/>
        <w:rPr>
          <w:rFonts w:ascii="Arial" w:cs="Arial" w:eastAsia="Arial" w:hAnsi="Arial"/>
          <w:sz w:val="16"/>
          <w:szCs w:val="16"/>
          <w:b w:val="1"/>
          <w:bCs w:val="1"/>
          <w:color w:val="auto"/>
        </w:rPr>
      </w:pPr>
      <w:r>
        <w:rPr>
          <w:rFonts w:ascii="Arial" w:cs="Arial" w:eastAsia="Arial" w:hAnsi="Arial"/>
          <w:sz w:val="16"/>
          <w:szCs w:val="16"/>
          <w:color w:val="auto"/>
        </w:rPr>
        <w:t>The Company’s Certificate of Incorporation, originally filed on July 26, 2001, most recently amended on December 17, 2013, which authorized the issuance of two classes of stock to be designated, “Common Stock” and “Preferred Stock”. The total number of shares which the Company is authorized to issue is 68,162,500. Of these shares, 51,250,000 shall be Common Stock and 16,912,500 shall be Preferred Stock.</w:t>
      </w:r>
    </w:p>
    <w:p>
      <w:pPr>
        <w:spacing w:after="0" w:line="250" w:lineRule="exact"/>
        <w:rPr>
          <w:rFonts w:ascii="Arial" w:cs="Arial" w:eastAsia="Arial" w:hAnsi="Arial"/>
          <w:sz w:val="16"/>
          <w:szCs w:val="16"/>
          <w:b w:val="1"/>
          <w:bCs w:val="1"/>
          <w:color w:val="auto"/>
        </w:rPr>
      </w:pPr>
    </w:p>
    <w:p>
      <w:pPr>
        <w:ind w:left="440"/>
        <w:spacing w:after="0"/>
        <w:rPr>
          <w:rFonts w:ascii="Arial" w:cs="Arial" w:eastAsia="Arial" w:hAnsi="Arial"/>
          <w:sz w:val="16"/>
          <w:szCs w:val="16"/>
          <w:b w:val="1"/>
          <w:bCs w:val="1"/>
          <w:color w:val="auto"/>
        </w:rPr>
      </w:pPr>
      <w:r>
        <w:rPr>
          <w:rFonts w:ascii="Arial" w:cs="Arial" w:eastAsia="Arial" w:hAnsi="Arial"/>
          <w:sz w:val="18"/>
          <w:szCs w:val="18"/>
          <w:b w:val="1"/>
          <w:bCs w:val="1"/>
          <w:color w:val="auto"/>
        </w:rPr>
        <w:t>Common Stock</w:t>
      </w:r>
    </w:p>
    <w:p>
      <w:pPr>
        <w:spacing w:after="0" w:line="121" w:lineRule="exact"/>
        <w:rPr>
          <w:rFonts w:ascii="Arial" w:cs="Arial" w:eastAsia="Arial" w:hAnsi="Arial"/>
          <w:sz w:val="16"/>
          <w:szCs w:val="16"/>
          <w:b w:val="1"/>
          <w:bCs w:val="1"/>
          <w:color w:val="auto"/>
        </w:rPr>
      </w:pPr>
    </w:p>
    <w:p>
      <w:pPr>
        <w:jc w:val="both"/>
        <w:ind w:left="440" w:right="240"/>
        <w:spacing w:after="0" w:line="286" w:lineRule="auto"/>
        <w:rPr>
          <w:rFonts w:ascii="Arial" w:cs="Arial" w:eastAsia="Arial" w:hAnsi="Arial"/>
          <w:sz w:val="16"/>
          <w:szCs w:val="16"/>
          <w:b w:val="1"/>
          <w:bCs w:val="1"/>
          <w:color w:val="auto"/>
        </w:rPr>
      </w:pPr>
      <w:r>
        <w:rPr>
          <w:rFonts w:ascii="Arial" w:cs="Arial" w:eastAsia="Arial" w:hAnsi="Arial"/>
          <w:sz w:val="17"/>
          <w:szCs w:val="17"/>
          <w:color w:val="auto"/>
        </w:rPr>
        <w:t>The holders of Common Stock of the Company are entitled to liquidation proceeds ratably after all Series A Convertible Redeemable Preferred Stock (“Preferred Shares”) liquidation preferences are satisfied. Dividends as declared by the Board are subordinate to preferential rights of the Preferred Series. Voting rights for Common Stock entitles holders to one vote for each share held.</w:t>
      </w:r>
    </w:p>
    <w:p>
      <w:pPr>
        <w:spacing w:after="0" w:line="269" w:lineRule="exact"/>
        <w:rPr>
          <w:rFonts w:ascii="Arial" w:cs="Arial" w:eastAsia="Arial" w:hAnsi="Arial"/>
          <w:sz w:val="16"/>
          <w:szCs w:val="16"/>
          <w:b w:val="1"/>
          <w:bCs w:val="1"/>
          <w:color w:val="auto"/>
        </w:rPr>
      </w:pPr>
    </w:p>
    <w:p>
      <w:pPr>
        <w:ind w:left="440"/>
        <w:spacing w:after="0"/>
        <w:rPr>
          <w:rFonts w:ascii="Arial" w:cs="Arial" w:eastAsia="Arial" w:hAnsi="Arial"/>
          <w:sz w:val="16"/>
          <w:szCs w:val="16"/>
          <w:b w:val="1"/>
          <w:bCs w:val="1"/>
          <w:color w:val="auto"/>
        </w:rPr>
      </w:pPr>
      <w:r>
        <w:rPr>
          <w:rFonts w:ascii="Arial" w:cs="Arial" w:eastAsia="Arial" w:hAnsi="Arial"/>
          <w:sz w:val="18"/>
          <w:szCs w:val="18"/>
          <w:b w:val="1"/>
          <w:bCs w:val="1"/>
          <w:color w:val="auto"/>
        </w:rPr>
        <w:t>Series A Redeemable Convertible Preferred Stock</w:t>
      </w:r>
    </w:p>
    <w:p>
      <w:pPr>
        <w:spacing w:after="0" w:line="121" w:lineRule="exact"/>
        <w:rPr>
          <w:rFonts w:ascii="Arial" w:cs="Arial" w:eastAsia="Arial" w:hAnsi="Arial"/>
          <w:sz w:val="16"/>
          <w:szCs w:val="16"/>
          <w:b w:val="1"/>
          <w:bCs w:val="1"/>
          <w:color w:val="auto"/>
        </w:rPr>
      </w:pPr>
    </w:p>
    <w:p>
      <w:pPr>
        <w:ind w:left="440" w:right="100"/>
        <w:spacing w:after="0" w:line="264" w:lineRule="auto"/>
        <w:rPr>
          <w:rFonts w:ascii="Arial" w:cs="Arial" w:eastAsia="Arial" w:hAnsi="Arial"/>
          <w:sz w:val="16"/>
          <w:szCs w:val="16"/>
          <w:b w:val="1"/>
          <w:bCs w:val="1"/>
          <w:color w:val="auto"/>
        </w:rPr>
      </w:pPr>
      <w:r>
        <w:rPr>
          <w:rFonts w:ascii="Arial" w:cs="Arial" w:eastAsia="Arial" w:hAnsi="Arial"/>
          <w:sz w:val="18"/>
          <w:szCs w:val="18"/>
          <w:color w:val="auto"/>
        </w:rPr>
        <w:t>On December 17, 2013, the Company entered into a minority investment arrangement funded by an outside investment (“PE firm”) firm. As part of the transaction, the PE firm purchased 16,912,500 shares of Series A Convertible Preferred Stock for approximately $37,292,000, net of offering costs of approximately $661,000.</w:t>
      </w:r>
    </w:p>
    <w:p>
      <w:pPr>
        <w:spacing w:after="0" w:line="73" w:lineRule="exact"/>
        <w:rPr>
          <w:rFonts w:ascii="Arial" w:cs="Arial" w:eastAsia="Arial" w:hAnsi="Arial"/>
          <w:sz w:val="16"/>
          <w:szCs w:val="16"/>
          <w:b w:val="1"/>
          <w:bCs w:val="1"/>
          <w:color w:val="auto"/>
        </w:rPr>
      </w:pPr>
    </w:p>
    <w:p>
      <w:pPr>
        <w:ind w:left="440"/>
        <w:spacing w:after="0"/>
        <w:rPr>
          <w:rFonts w:ascii="Arial" w:cs="Arial" w:eastAsia="Arial" w:hAnsi="Arial"/>
          <w:sz w:val="16"/>
          <w:szCs w:val="16"/>
          <w:b w:val="1"/>
          <w:bCs w:val="1"/>
          <w:color w:val="auto"/>
        </w:rPr>
      </w:pPr>
      <w:r>
        <w:rPr>
          <w:rFonts w:ascii="Arial" w:cs="Arial" w:eastAsia="Arial" w:hAnsi="Arial"/>
          <w:sz w:val="18"/>
          <w:szCs w:val="18"/>
          <w:color w:val="auto"/>
        </w:rPr>
        <w:t>The PE firm received 100% of the issued preferred shares of the Company, which contains the following summarized terms.</w:t>
      </w:r>
    </w:p>
    <w:p>
      <w:pPr>
        <w:spacing w:after="0" w:line="333" w:lineRule="exact"/>
        <w:rPr>
          <w:rFonts w:ascii="Arial" w:cs="Arial" w:eastAsia="Arial" w:hAnsi="Arial"/>
          <w:sz w:val="16"/>
          <w:szCs w:val="16"/>
          <w:b w:val="1"/>
          <w:bCs w:val="1"/>
          <w:color w:val="auto"/>
        </w:rPr>
      </w:pPr>
    </w:p>
    <w:p>
      <w:pPr>
        <w:ind w:left="440"/>
        <w:spacing w:after="0"/>
        <w:rPr>
          <w:rFonts w:ascii="Arial" w:cs="Arial" w:eastAsia="Arial" w:hAnsi="Arial"/>
          <w:sz w:val="16"/>
          <w:szCs w:val="16"/>
          <w:b w:val="1"/>
          <w:bCs w:val="1"/>
          <w:color w:val="auto"/>
        </w:rPr>
      </w:pPr>
      <w:r>
        <w:rPr>
          <w:rFonts w:ascii="Arial" w:cs="Arial" w:eastAsia="Arial" w:hAnsi="Arial"/>
          <w:sz w:val="18"/>
          <w:szCs w:val="18"/>
          <w:b w:val="1"/>
          <w:bCs w:val="1"/>
          <w:i w:val="1"/>
          <w:iCs w:val="1"/>
          <w:color w:val="auto"/>
        </w:rPr>
        <w:t>Dividends</w:t>
      </w:r>
    </w:p>
    <w:p>
      <w:pPr>
        <w:spacing w:after="0" w:line="117" w:lineRule="exact"/>
        <w:rPr>
          <w:rFonts w:ascii="Arial" w:cs="Arial" w:eastAsia="Arial" w:hAnsi="Arial"/>
          <w:sz w:val="16"/>
          <w:szCs w:val="16"/>
          <w:b w:val="1"/>
          <w:bCs w:val="1"/>
          <w:color w:val="auto"/>
        </w:rPr>
      </w:pPr>
    </w:p>
    <w:p>
      <w:pPr>
        <w:ind w:left="440"/>
        <w:spacing w:after="0" w:line="279" w:lineRule="auto"/>
        <w:rPr>
          <w:rFonts w:ascii="Arial" w:cs="Arial" w:eastAsia="Arial" w:hAnsi="Arial"/>
          <w:sz w:val="16"/>
          <w:szCs w:val="16"/>
          <w:b w:val="1"/>
          <w:bCs w:val="1"/>
          <w:color w:val="auto"/>
        </w:rPr>
      </w:pPr>
      <w:r>
        <w:rPr>
          <w:rFonts w:ascii="Arial" w:cs="Arial" w:eastAsia="Arial" w:hAnsi="Arial"/>
          <w:sz w:val="17"/>
          <w:szCs w:val="17"/>
          <w:color w:val="auto"/>
        </w:rPr>
        <w:t>An 8% per share dividend will accrue annually, although it will only be payable in the event of a redemption or deemed liquidation, as defined. Accrued dividends amounted to approximately $12,783,515 at March 31, 2018. Preferred stock dividends amounting to $2,983,365, were accreted for the years ended March 31, 2018 and 2017 respectively. As total fair value of Preferred Stock at March 31, 2018 exceeded the original investment plus accrued and unpaid dividends, total accretion as of March 31, 2018 amounted to $8,962,651.</w:t>
      </w:r>
    </w:p>
    <w:p>
      <w:pPr>
        <w:spacing w:after="0" w:line="279" w:lineRule="exact"/>
        <w:rPr>
          <w:rFonts w:ascii="Arial" w:cs="Arial" w:eastAsia="Arial" w:hAnsi="Arial"/>
          <w:sz w:val="16"/>
          <w:szCs w:val="16"/>
          <w:b w:val="1"/>
          <w:bCs w:val="1"/>
          <w:color w:val="auto"/>
        </w:rPr>
      </w:pPr>
    </w:p>
    <w:p>
      <w:pPr>
        <w:ind w:left="440"/>
        <w:spacing w:after="0"/>
        <w:rPr>
          <w:rFonts w:ascii="Arial" w:cs="Arial" w:eastAsia="Arial" w:hAnsi="Arial"/>
          <w:sz w:val="16"/>
          <w:szCs w:val="16"/>
          <w:b w:val="1"/>
          <w:bCs w:val="1"/>
          <w:color w:val="auto"/>
        </w:rPr>
      </w:pPr>
      <w:r>
        <w:rPr>
          <w:rFonts w:ascii="Arial" w:cs="Arial" w:eastAsia="Arial" w:hAnsi="Arial"/>
          <w:sz w:val="18"/>
          <w:szCs w:val="18"/>
          <w:b w:val="1"/>
          <w:bCs w:val="1"/>
          <w:i w:val="1"/>
          <w:iCs w:val="1"/>
          <w:color w:val="auto"/>
        </w:rPr>
        <w:t>Liquidation</w:t>
      </w:r>
    </w:p>
    <w:p>
      <w:pPr>
        <w:spacing w:after="0" w:line="117" w:lineRule="exact"/>
        <w:rPr>
          <w:rFonts w:ascii="Arial" w:cs="Arial" w:eastAsia="Arial" w:hAnsi="Arial"/>
          <w:sz w:val="16"/>
          <w:szCs w:val="16"/>
          <w:b w:val="1"/>
          <w:bCs w:val="1"/>
          <w:color w:val="auto"/>
        </w:rPr>
      </w:pPr>
    </w:p>
    <w:p>
      <w:pPr>
        <w:ind w:left="440"/>
        <w:spacing w:after="0" w:line="259" w:lineRule="auto"/>
        <w:rPr>
          <w:rFonts w:ascii="Arial" w:cs="Arial" w:eastAsia="Arial" w:hAnsi="Arial"/>
          <w:sz w:val="16"/>
          <w:szCs w:val="16"/>
          <w:b w:val="1"/>
          <w:bCs w:val="1"/>
          <w:color w:val="auto"/>
        </w:rPr>
      </w:pPr>
      <w:r>
        <w:rPr>
          <w:rFonts w:ascii="Arial" w:cs="Arial" w:eastAsia="Arial" w:hAnsi="Arial"/>
          <w:sz w:val="18"/>
          <w:szCs w:val="18"/>
          <w:color w:val="auto"/>
        </w:rPr>
        <w:t>The preferred shares will be senior to common shares in the event of a sale, merger, liquidation, bankruptcy or other deemed liquidation event. In the event of such an occurrence, the preferred shareholders shall be entitled to receive the greater of (i) the aggregate amount of the original equity investment plus accrued dividends; or (ii) the amounts payable on an “as is converted to common shares basis”. The liquidation preference at March 31, 2018 amounted to approximately $55,998,000.</w:t>
      </w:r>
    </w:p>
    <w:p>
      <w:pPr>
        <w:spacing w:after="0" w:line="294" w:lineRule="exact"/>
        <w:rPr>
          <w:rFonts w:ascii="Arial" w:cs="Arial" w:eastAsia="Arial" w:hAnsi="Arial"/>
          <w:sz w:val="16"/>
          <w:szCs w:val="16"/>
          <w:b w:val="1"/>
          <w:bCs w:val="1"/>
          <w:color w:val="auto"/>
        </w:rPr>
      </w:pPr>
    </w:p>
    <w:p>
      <w:pPr>
        <w:ind w:left="440"/>
        <w:spacing w:after="0"/>
        <w:rPr>
          <w:rFonts w:ascii="Arial" w:cs="Arial" w:eastAsia="Arial" w:hAnsi="Arial"/>
          <w:sz w:val="16"/>
          <w:szCs w:val="16"/>
          <w:b w:val="1"/>
          <w:bCs w:val="1"/>
          <w:color w:val="auto"/>
        </w:rPr>
      </w:pPr>
      <w:r>
        <w:rPr>
          <w:rFonts w:ascii="Arial" w:cs="Arial" w:eastAsia="Arial" w:hAnsi="Arial"/>
          <w:sz w:val="18"/>
          <w:szCs w:val="18"/>
          <w:b w:val="1"/>
          <w:bCs w:val="1"/>
          <w:i w:val="1"/>
          <w:iCs w:val="1"/>
          <w:color w:val="auto"/>
        </w:rPr>
        <w:t>Redemption</w:t>
      </w:r>
    </w:p>
    <w:p>
      <w:pPr>
        <w:spacing w:after="0" w:line="117" w:lineRule="exact"/>
        <w:rPr>
          <w:rFonts w:ascii="Arial" w:cs="Arial" w:eastAsia="Arial" w:hAnsi="Arial"/>
          <w:sz w:val="16"/>
          <w:szCs w:val="16"/>
          <w:b w:val="1"/>
          <w:bCs w:val="1"/>
          <w:color w:val="auto"/>
        </w:rPr>
      </w:pPr>
    </w:p>
    <w:p>
      <w:pPr>
        <w:ind w:left="440" w:right="160"/>
        <w:spacing w:after="0" w:line="288" w:lineRule="auto"/>
        <w:rPr>
          <w:rFonts w:ascii="Arial" w:cs="Arial" w:eastAsia="Arial" w:hAnsi="Arial"/>
          <w:sz w:val="16"/>
          <w:szCs w:val="16"/>
          <w:b w:val="1"/>
          <w:bCs w:val="1"/>
          <w:color w:val="auto"/>
        </w:rPr>
      </w:pPr>
      <w:r>
        <w:rPr>
          <w:rFonts w:ascii="Arial" w:cs="Arial" w:eastAsia="Arial" w:hAnsi="Arial"/>
          <w:sz w:val="16"/>
          <w:szCs w:val="16"/>
          <w:color w:val="auto"/>
        </w:rPr>
        <w:t>At the election of the holders of a majority of the preferred shares the Company shall redeem the outstanding shares in two equal annual installments beginning on the fifth anniversary of such investment, December 17, 2018. In the current year, the company received a waiver from the holders of the preferred shares extending the redemption date to July 31, 2019. Such redemptions shall be made at the greater share value of</w:t>
      </w:r>
    </w:p>
    <w:p>
      <w:pPr>
        <w:ind w:left="440"/>
        <w:spacing w:after="0"/>
        <w:rPr>
          <w:rFonts w:ascii="Arial" w:cs="Arial" w:eastAsia="Arial" w:hAnsi="Arial"/>
          <w:sz w:val="16"/>
          <w:szCs w:val="16"/>
          <w:b w:val="1"/>
          <w:bCs w:val="1"/>
          <w:color w:val="auto"/>
        </w:rPr>
      </w:pPr>
      <w:r>
        <w:rPr>
          <w:rFonts w:ascii="Arial" w:cs="Arial" w:eastAsia="Arial" w:hAnsi="Arial"/>
          <w:sz w:val="18"/>
          <w:szCs w:val="18"/>
          <w:color w:val="auto"/>
        </w:rPr>
        <w:t>(i) fair market value; or (ii) the original equity investment plus accrued dividends.</w:t>
      </w:r>
    </w:p>
    <w:p>
      <w:pPr>
        <w:spacing w:after="0" w:line="14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000"/>
          </w:cols>
          <w:pgMar w:left="440" w:top="270" w:right="459" w:bottom="1440" w:gutter="0" w:footer="0" w:header="0"/>
        </w:sectPr>
      </w:pPr>
    </w:p>
    <w:bookmarkStart w:id="20" w:name="page21"/>
    <w:bookmarkEnd w:id="20"/>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SiriusDecisions, Inc. and Subsidiaries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March 31, 2018 and 2017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14605</wp:posOffset>
            </wp:positionV>
            <wp:extent cx="6997700" cy="889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6997700" cy="8890"/>
                    </a:xfrm>
                    <a:prstGeom prst="rect">
                      <a:avLst/>
                    </a:prstGeom>
                    <a:noFill/>
                  </pic:spPr>
                </pic:pic>
              </a:graphicData>
            </a:graphic>
          </wp:anchor>
        </w:drawing>
      </w:r>
    </w:p>
    <w:p>
      <w:pPr>
        <w:spacing w:after="0" w:line="191" w:lineRule="exact"/>
        <w:rPr>
          <w:sz w:val="20"/>
          <w:szCs w:val="20"/>
          <w:color w:val="auto"/>
        </w:rPr>
      </w:pPr>
    </w:p>
    <w:p>
      <w:pPr>
        <w:ind w:left="440"/>
        <w:spacing w:after="0"/>
        <w:rPr>
          <w:sz w:val="20"/>
          <w:szCs w:val="20"/>
          <w:color w:val="auto"/>
        </w:rPr>
      </w:pPr>
      <w:r>
        <w:rPr>
          <w:rFonts w:ascii="Arial" w:cs="Arial" w:eastAsia="Arial" w:hAnsi="Arial"/>
          <w:sz w:val="18"/>
          <w:szCs w:val="18"/>
          <w:b w:val="1"/>
          <w:bCs w:val="1"/>
          <w:i w:val="1"/>
          <w:iCs w:val="1"/>
          <w:color w:val="auto"/>
        </w:rPr>
        <w:t>Conversion</w:t>
      </w:r>
    </w:p>
    <w:p>
      <w:pPr>
        <w:spacing w:after="0" w:line="117" w:lineRule="exact"/>
        <w:rPr>
          <w:sz w:val="20"/>
          <w:szCs w:val="20"/>
          <w:color w:val="auto"/>
        </w:rPr>
      </w:pPr>
    </w:p>
    <w:p>
      <w:pPr>
        <w:ind w:left="440"/>
        <w:spacing w:after="0" w:line="273" w:lineRule="auto"/>
        <w:rPr>
          <w:sz w:val="20"/>
          <w:szCs w:val="20"/>
          <w:color w:val="auto"/>
        </w:rPr>
      </w:pPr>
      <w:r>
        <w:rPr>
          <w:rFonts w:ascii="Arial" w:cs="Arial" w:eastAsia="Arial" w:hAnsi="Arial"/>
          <w:sz w:val="17"/>
          <w:szCs w:val="17"/>
          <w:color w:val="auto"/>
        </w:rPr>
        <w:t>The holders of shares of the preferred shares have the right at any time to convert all or a portion of the preferred shares into shares of Common Stock. The number of shares of common stock which would be issued upon conversion will be determined by dividing the original equity investment by the conversion price. The conversion price will be initially equal to the Original Equity Investment divided by the number of shares of preferred stock. In the event that the Company issues additional shares of stock or convertible securities at a purchase price or exercise price less than the then-applicable conversion price, such conversion price shall be adjusted. The shares will automatically convert in the event of an initial public offering, if such offering is greater than defined proceed levels.</w:t>
      </w:r>
    </w:p>
    <w:p>
      <w:pPr>
        <w:spacing w:after="0" w:line="287" w:lineRule="exact"/>
        <w:rPr>
          <w:sz w:val="20"/>
          <w:szCs w:val="20"/>
          <w:color w:val="auto"/>
        </w:rPr>
      </w:pPr>
    </w:p>
    <w:p>
      <w:pPr>
        <w:ind w:left="440"/>
        <w:spacing w:after="0"/>
        <w:rPr>
          <w:sz w:val="20"/>
          <w:szCs w:val="20"/>
          <w:color w:val="auto"/>
        </w:rPr>
      </w:pPr>
      <w:r>
        <w:rPr>
          <w:rFonts w:ascii="Arial" w:cs="Arial" w:eastAsia="Arial" w:hAnsi="Arial"/>
          <w:sz w:val="18"/>
          <w:szCs w:val="18"/>
          <w:b w:val="1"/>
          <w:bCs w:val="1"/>
          <w:i w:val="1"/>
          <w:iCs w:val="1"/>
          <w:color w:val="auto"/>
        </w:rPr>
        <w:t>Voting</w:t>
      </w:r>
    </w:p>
    <w:p>
      <w:pPr>
        <w:spacing w:after="0" w:line="117" w:lineRule="exact"/>
        <w:rPr>
          <w:sz w:val="20"/>
          <w:szCs w:val="20"/>
          <w:color w:val="auto"/>
        </w:rPr>
      </w:pPr>
    </w:p>
    <w:p>
      <w:pPr>
        <w:ind w:left="440" w:right="140"/>
        <w:spacing w:after="0" w:line="308" w:lineRule="auto"/>
        <w:rPr>
          <w:sz w:val="20"/>
          <w:szCs w:val="20"/>
          <w:color w:val="auto"/>
        </w:rPr>
      </w:pPr>
      <w:r>
        <w:rPr>
          <w:rFonts w:ascii="Arial" w:cs="Arial" w:eastAsia="Arial" w:hAnsi="Arial"/>
          <w:sz w:val="17"/>
          <w:szCs w:val="17"/>
          <w:color w:val="auto"/>
        </w:rPr>
        <w:t>The Preferred shareholders will be entitled to 2 out of 5 board seats and certain protective rights and shall be entitled to cast the number of votes equal to the number of whole shares of common stock into which the shares of Series A Preferred Stock are convertible.</w:t>
      </w:r>
    </w:p>
    <w:p>
      <w:pPr>
        <w:spacing w:after="0" w:line="38" w:lineRule="exact"/>
        <w:rPr>
          <w:sz w:val="20"/>
          <w:szCs w:val="20"/>
          <w:color w:val="auto"/>
        </w:rPr>
      </w:pPr>
    </w:p>
    <w:p>
      <w:pPr>
        <w:jc w:val="both"/>
        <w:ind w:left="440" w:right="540"/>
        <w:spacing w:after="0" w:line="312" w:lineRule="auto"/>
        <w:rPr>
          <w:sz w:val="20"/>
          <w:szCs w:val="20"/>
          <w:color w:val="auto"/>
        </w:rPr>
      </w:pPr>
      <w:r>
        <w:rPr>
          <w:rFonts w:ascii="Arial" w:cs="Arial" w:eastAsia="Arial" w:hAnsi="Arial"/>
          <w:sz w:val="16"/>
          <w:szCs w:val="16"/>
          <w:color w:val="auto"/>
        </w:rPr>
        <w:t>The Company evaluated the Series A Preferred Stock and its embedded conversion feature on the date of issuance and determined the host instrument is more akin to equity and is therefore clearly and closely related with the embedded conversion option as defined by ASC 815. Further, there were no beneficial conversion features noted. As such bifurcation of the embedded conversion feature was not required.</w:t>
      </w:r>
    </w:p>
    <w:p>
      <w:pPr>
        <w:spacing w:after="0" w:line="39" w:lineRule="exact"/>
        <w:rPr>
          <w:sz w:val="20"/>
          <w:szCs w:val="20"/>
          <w:color w:val="auto"/>
        </w:rPr>
      </w:pPr>
    </w:p>
    <w:p>
      <w:pPr>
        <w:ind w:left="440" w:right="380"/>
        <w:spacing w:after="0" w:line="277" w:lineRule="auto"/>
        <w:rPr>
          <w:sz w:val="20"/>
          <w:szCs w:val="20"/>
          <w:color w:val="auto"/>
        </w:rPr>
      </w:pPr>
      <w:r>
        <w:rPr>
          <w:rFonts w:ascii="Arial" w:cs="Arial" w:eastAsia="Arial" w:hAnsi="Arial"/>
          <w:sz w:val="18"/>
          <w:szCs w:val="18"/>
          <w:color w:val="auto"/>
        </w:rPr>
        <w:t>The Company accretes the issuance costs on its preferred stock using the straight-line method from the date of issuance to the earliest date of redemption.</w:t>
      </w:r>
    </w:p>
    <w:p>
      <w:pPr>
        <w:spacing w:after="0" w:line="315" w:lineRule="exact"/>
        <w:rPr>
          <w:sz w:val="20"/>
          <w:szCs w:val="20"/>
          <w:color w:val="auto"/>
        </w:rPr>
      </w:pPr>
    </w:p>
    <w:p>
      <w:pPr>
        <w:ind w:left="440" w:hanging="436"/>
        <w:spacing w:after="0"/>
        <w:tabs>
          <w:tab w:leader="none" w:pos="440" w:val="left"/>
        </w:tabs>
        <w:numPr>
          <w:ilvl w:val="0"/>
          <w:numId w:val="10"/>
        </w:numPr>
        <w:rPr>
          <w:rFonts w:ascii="Arial" w:cs="Arial" w:eastAsia="Arial" w:hAnsi="Arial"/>
          <w:sz w:val="18"/>
          <w:szCs w:val="18"/>
          <w:b w:val="1"/>
          <w:bCs w:val="1"/>
          <w:color w:val="auto"/>
        </w:rPr>
      </w:pPr>
      <w:r>
        <w:rPr>
          <w:rFonts w:ascii="Arial" w:cs="Arial" w:eastAsia="Arial" w:hAnsi="Arial"/>
          <w:sz w:val="18"/>
          <w:szCs w:val="18"/>
          <w:b w:val="1"/>
          <w:bCs w:val="1"/>
          <w:color w:val="auto"/>
        </w:rPr>
        <w:t>Stock Options</w:t>
      </w:r>
    </w:p>
    <w:p>
      <w:pPr>
        <w:spacing w:after="0" w:line="121" w:lineRule="exact"/>
        <w:rPr>
          <w:rFonts w:ascii="Arial" w:cs="Arial" w:eastAsia="Arial" w:hAnsi="Arial"/>
          <w:sz w:val="18"/>
          <w:szCs w:val="18"/>
          <w:b w:val="1"/>
          <w:bCs w:val="1"/>
          <w:color w:val="auto"/>
        </w:rPr>
      </w:pPr>
    </w:p>
    <w:p>
      <w:pPr>
        <w:ind w:left="440" w:right="20"/>
        <w:spacing w:after="0" w:line="288" w:lineRule="auto"/>
        <w:rPr>
          <w:rFonts w:ascii="Arial" w:cs="Arial" w:eastAsia="Arial" w:hAnsi="Arial"/>
          <w:sz w:val="18"/>
          <w:szCs w:val="18"/>
          <w:b w:val="1"/>
          <w:bCs w:val="1"/>
          <w:color w:val="auto"/>
        </w:rPr>
      </w:pPr>
      <w:r>
        <w:rPr>
          <w:rFonts w:ascii="Arial" w:cs="Arial" w:eastAsia="Arial" w:hAnsi="Arial"/>
          <w:sz w:val="16"/>
          <w:szCs w:val="16"/>
          <w:color w:val="auto"/>
        </w:rPr>
        <w:t>The Company adopted the 2005 Stock Option Plan (the “Plan”) under which 5,000,000 shares of the Company’s common stock was reserved for issuance to employees, directors and consultants. As part of the preferred stock transaction (Note 8), the Company increased the number of shares issuable under its stock option plan to 5,700,000. Options granted under the Plan may be incentive stock options or nonqualified stock options.</w:t>
      </w:r>
    </w:p>
    <w:p>
      <w:pPr>
        <w:ind w:left="440"/>
        <w:spacing w:after="0" w:line="273" w:lineRule="auto"/>
        <w:rPr>
          <w:rFonts w:ascii="Arial" w:cs="Arial" w:eastAsia="Arial" w:hAnsi="Arial"/>
          <w:sz w:val="18"/>
          <w:szCs w:val="18"/>
          <w:b w:val="1"/>
          <w:bCs w:val="1"/>
          <w:color w:val="auto"/>
        </w:rPr>
      </w:pPr>
      <w:r>
        <w:rPr>
          <w:rFonts w:ascii="Arial" w:cs="Arial" w:eastAsia="Arial" w:hAnsi="Arial"/>
          <w:sz w:val="17"/>
          <w:szCs w:val="17"/>
          <w:color w:val="auto"/>
        </w:rPr>
        <w:t>Incentive stock options may only be granted to employees. Options vest and become exercisable pursuant to individual’s stock agreement, and the Company’s Board of Directors may issue fully and immediately vested shares of common stock or impose such vesting requirements, as it deems appropriate. Options are usually exercisable over 10 years after the grant date and five years from the date of the grant in the case of incentive stock options where the employee owns more than 10% of the combined voting power of all classes of stock.</w:t>
      </w:r>
    </w:p>
    <w:p>
      <w:pPr>
        <w:spacing w:after="0" w:line="68" w:lineRule="exact"/>
        <w:rPr>
          <w:rFonts w:ascii="Arial" w:cs="Arial" w:eastAsia="Arial" w:hAnsi="Arial"/>
          <w:sz w:val="18"/>
          <w:szCs w:val="18"/>
          <w:b w:val="1"/>
          <w:bCs w:val="1"/>
          <w:color w:val="auto"/>
        </w:rPr>
      </w:pPr>
    </w:p>
    <w:p>
      <w:pPr>
        <w:ind w:left="440" w:right="120"/>
        <w:spacing w:after="0" w:line="264" w:lineRule="auto"/>
        <w:rPr>
          <w:rFonts w:ascii="Arial" w:cs="Arial" w:eastAsia="Arial" w:hAnsi="Arial"/>
          <w:sz w:val="18"/>
          <w:szCs w:val="18"/>
          <w:b w:val="1"/>
          <w:bCs w:val="1"/>
          <w:color w:val="auto"/>
        </w:rPr>
      </w:pPr>
      <w:r>
        <w:rPr>
          <w:rFonts w:ascii="Arial" w:cs="Arial" w:eastAsia="Arial" w:hAnsi="Arial"/>
          <w:sz w:val="18"/>
          <w:szCs w:val="18"/>
          <w:color w:val="auto"/>
        </w:rPr>
        <w:t>The exercise price of incentive stock options shall not be less than the fair value of common stock as determined by the Board of Directors. If an individual owns stock representing more than 10% of the total combined voting power of all classes of stock, the price of each share shall be at least 110% of the fair market value, as determined by the Board of Directors.</w:t>
      </w:r>
    </w:p>
    <w:p>
      <w:pPr>
        <w:spacing w:after="0" w:line="73" w:lineRule="exact"/>
        <w:rPr>
          <w:rFonts w:ascii="Arial" w:cs="Arial" w:eastAsia="Arial" w:hAnsi="Arial"/>
          <w:sz w:val="18"/>
          <w:szCs w:val="18"/>
          <w:b w:val="1"/>
          <w:bCs w:val="1"/>
          <w:color w:val="auto"/>
        </w:rPr>
      </w:pPr>
    </w:p>
    <w:p>
      <w:pPr>
        <w:ind w:left="440"/>
        <w:spacing w:after="0" w:line="302" w:lineRule="auto"/>
        <w:rPr>
          <w:rFonts w:ascii="Arial" w:cs="Arial" w:eastAsia="Arial" w:hAnsi="Arial"/>
          <w:sz w:val="18"/>
          <w:szCs w:val="18"/>
          <w:b w:val="1"/>
          <w:bCs w:val="1"/>
          <w:color w:val="auto"/>
        </w:rPr>
      </w:pPr>
      <w:r>
        <w:rPr>
          <w:rFonts w:ascii="Arial" w:cs="Arial" w:eastAsia="Arial" w:hAnsi="Arial"/>
          <w:sz w:val="16"/>
          <w:szCs w:val="16"/>
          <w:color w:val="auto"/>
        </w:rPr>
        <w:t>The Company accounts for the expected life of options in accordance with the “simplified” method provision of ASC 718-10-S55, which enables the use of the simplified method for “plain vanilla” share options. Expected volatility is calculated using the historical volatility of comparable public companies. The risk free interest rate is based on U.S. Treasury yields for securities in effect at the time of grants with terms approximating the term of the grants. The Company does not expect to issue dividends in the foreseeable future. The following assumptions were used:</w:t>
      </w:r>
    </w:p>
    <w:p>
      <w:pPr>
        <w:spacing w:after="0" w:line="87"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0980"/>
          </w:cols>
          <w:pgMar w:left="440" w:top="270" w:right="479" w:bottom="1440" w:gutter="0" w:footer="0" w:header="0"/>
        </w:sectPr>
      </w:pPr>
    </w:p>
    <w:bookmarkStart w:id="21" w:name="page22"/>
    <w:bookmarkEnd w:id="21"/>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SiriusDecisions, Inc. and Subsidiaries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March 31, 2018 and 2017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14605</wp:posOffset>
            </wp:positionV>
            <wp:extent cx="6997700" cy="889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6997700" cy="8890"/>
                    </a:xfrm>
                    <a:prstGeom prst="rect">
                      <a:avLst/>
                    </a:prstGeom>
                    <a:noFill/>
                  </pic:spPr>
                </pic:pic>
              </a:graphicData>
            </a:graphic>
          </wp:anchor>
        </w:drawing>
      </w:r>
    </w:p>
    <w:p>
      <w:pPr>
        <w:spacing w:after="0" w:line="182" w:lineRule="exact"/>
        <w:rPr>
          <w:sz w:val="20"/>
          <w:szCs w:val="20"/>
          <w:color w:val="auto"/>
        </w:rPr>
      </w:pPr>
    </w:p>
    <w:tbl>
      <w:tblPr>
        <w:tblLayout w:type="fixed"/>
        <w:tblInd w:w="132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3960" w:type="dxa"/>
            <w:vAlign w:val="bottom"/>
          </w:tcPr>
          <w:p>
            <w:pPr>
              <w:spacing w:after="0"/>
              <w:rPr>
                <w:sz w:val="14"/>
                <w:szCs w:val="14"/>
                <w:color w:val="auto"/>
              </w:rPr>
            </w:pPr>
          </w:p>
        </w:tc>
        <w:tc>
          <w:tcPr>
            <w:tcW w:w="2880" w:type="dxa"/>
            <w:vAlign w:val="bottom"/>
            <w:gridSpan w:val="2"/>
          </w:tcPr>
          <w:p>
            <w:pPr>
              <w:jc w:val="right"/>
              <w:ind w:right="710"/>
              <w:spacing w:after="0"/>
              <w:rPr>
                <w:sz w:val="20"/>
                <w:szCs w:val="20"/>
                <w:color w:val="auto"/>
              </w:rPr>
            </w:pPr>
            <w:r>
              <w:rPr>
                <w:rFonts w:ascii="Arial" w:cs="Arial" w:eastAsia="Arial" w:hAnsi="Arial"/>
                <w:sz w:val="14"/>
                <w:szCs w:val="14"/>
                <w:b w:val="1"/>
                <w:bCs w:val="1"/>
                <w:color w:val="auto"/>
              </w:rPr>
              <w:t>2018</w:t>
            </w:r>
          </w:p>
        </w:tc>
        <w:tc>
          <w:tcPr>
            <w:tcW w:w="1520" w:type="dxa"/>
            <w:vAlign w:val="bottom"/>
          </w:tcPr>
          <w:p>
            <w:pPr>
              <w:jc w:val="right"/>
              <w:ind w:right="493"/>
              <w:spacing w:after="0"/>
              <w:rPr>
                <w:sz w:val="20"/>
                <w:szCs w:val="20"/>
                <w:color w:val="auto"/>
              </w:rPr>
            </w:pPr>
            <w:r>
              <w:rPr>
                <w:rFonts w:ascii="Arial" w:cs="Arial" w:eastAsia="Arial" w:hAnsi="Arial"/>
                <w:sz w:val="14"/>
                <w:szCs w:val="14"/>
                <w:b w:val="1"/>
                <w:bCs w:val="1"/>
                <w:color w:val="auto"/>
              </w:rPr>
              <w:t>2017</w:t>
            </w:r>
          </w:p>
        </w:tc>
      </w:tr>
      <w:tr>
        <w:trPr>
          <w:trHeight w:val="216"/>
        </w:trPr>
        <w:tc>
          <w:tcPr>
            <w:tcW w:w="20" w:type="dxa"/>
            <w:vAlign w:val="bottom"/>
          </w:tcPr>
          <w:p>
            <w:pPr>
              <w:spacing w:after="0"/>
              <w:rPr>
                <w:sz w:val="18"/>
                <w:szCs w:val="18"/>
                <w:color w:val="auto"/>
              </w:rPr>
            </w:pPr>
          </w:p>
        </w:tc>
        <w:tc>
          <w:tcPr>
            <w:tcW w:w="3960" w:type="dxa"/>
            <w:vAlign w:val="bottom"/>
            <w:shd w:val="clear" w:color="auto" w:fill="CCEEFF"/>
          </w:tcPr>
          <w:p>
            <w:pPr>
              <w:spacing w:after="0"/>
              <w:rPr>
                <w:sz w:val="20"/>
                <w:szCs w:val="20"/>
                <w:color w:val="auto"/>
              </w:rPr>
            </w:pPr>
            <w:r>
              <w:rPr>
                <w:rFonts w:ascii="Arial" w:cs="Arial" w:eastAsia="Arial" w:hAnsi="Arial"/>
                <w:sz w:val="18"/>
                <w:szCs w:val="18"/>
                <w:color w:val="auto"/>
              </w:rPr>
              <w:t>Risk free interest rate</w:t>
            </w:r>
          </w:p>
        </w:tc>
        <w:tc>
          <w:tcPr>
            <w:tcW w:w="2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1.93%</w:t>
            </w:r>
          </w:p>
        </w:tc>
        <w:tc>
          <w:tcPr>
            <w:tcW w:w="86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w w:val="90"/>
              </w:rPr>
              <w:t>- 2.74%</w:t>
            </w:r>
          </w:p>
        </w:tc>
        <w:tc>
          <w:tcPr>
            <w:tcW w:w="1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1.23% - 2.1%</w:t>
            </w:r>
          </w:p>
        </w:tc>
      </w:tr>
      <w:tr>
        <w:trPr>
          <w:trHeight w:val="216"/>
        </w:trPr>
        <w:tc>
          <w:tcPr>
            <w:tcW w:w="20" w:type="dxa"/>
            <w:vAlign w:val="bottom"/>
          </w:tcPr>
          <w:p>
            <w:pPr>
              <w:spacing w:after="0"/>
              <w:rPr>
                <w:sz w:val="18"/>
                <w:szCs w:val="18"/>
                <w:color w:val="auto"/>
              </w:rPr>
            </w:pPr>
          </w:p>
        </w:tc>
        <w:tc>
          <w:tcPr>
            <w:tcW w:w="3960" w:type="dxa"/>
            <w:vAlign w:val="bottom"/>
          </w:tcPr>
          <w:p>
            <w:pPr>
              <w:spacing w:after="0"/>
              <w:rPr>
                <w:sz w:val="20"/>
                <w:szCs w:val="20"/>
                <w:color w:val="auto"/>
              </w:rPr>
            </w:pPr>
            <w:r>
              <w:rPr>
                <w:rFonts w:ascii="Arial" w:cs="Arial" w:eastAsia="Arial" w:hAnsi="Arial"/>
                <w:sz w:val="18"/>
                <w:szCs w:val="18"/>
                <w:color w:val="auto"/>
              </w:rPr>
              <w:t>Calculated dividend rate</w:t>
            </w:r>
          </w:p>
        </w:tc>
        <w:tc>
          <w:tcPr>
            <w:tcW w:w="2020" w:type="dxa"/>
            <w:vAlign w:val="bottom"/>
          </w:tcPr>
          <w:p>
            <w:pPr>
              <w:spacing w:after="0"/>
              <w:rPr>
                <w:sz w:val="18"/>
                <w:szCs w:val="18"/>
                <w:color w:val="auto"/>
              </w:rPr>
            </w:pPr>
          </w:p>
        </w:tc>
        <w:tc>
          <w:tcPr>
            <w:tcW w:w="860" w:type="dxa"/>
            <w:vAlign w:val="bottom"/>
          </w:tcPr>
          <w:p>
            <w:pPr>
              <w:jc w:val="right"/>
              <w:ind w:right="190"/>
              <w:spacing w:after="0"/>
              <w:rPr>
                <w:sz w:val="20"/>
                <w:szCs w:val="20"/>
                <w:color w:val="auto"/>
              </w:rPr>
            </w:pPr>
            <w:r>
              <w:rPr>
                <w:rFonts w:ascii="Arial" w:cs="Arial" w:eastAsia="Arial" w:hAnsi="Arial"/>
                <w:sz w:val="18"/>
                <w:szCs w:val="18"/>
                <w:color w:val="auto"/>
              </w:rPr>
              <w:t>0%</w:t>
            </w:r>
          </w:p>
        </w:tc>
        <w:tc>
          <w:tcPr>
            <w:tcW w:w="1520" w:type="dxa"/>
            <w:vAlign w:val="bottom"/>
          </w:tcPr>
          <w:p>
            <w:pPr>
              <w:jc w:val="right"/>
              <w:spacing w:after="0"/>
              <w:rPr>
                <w:sz w:val="20"/>
                <w:szCs w:val="20"/>
                <w:color w:val="auto"/>
              </w:rPr>
            </w:pPr>
            <w:r>
              <w:rPr>
                <w:rFonts w:ascii="Arial" w:cs="Arial" w:eastAsia="Arial" w:hAnsi="Arial"/>
                <w:sz w:val="18"/>
                <w:szCs w:val="18"/>
                <w:color w:val="auto"/>
              </w:rPr>
              <w:t>0%</w:t>
            </w:r>
          </w:p>
        </w:tc>
      </w:tr>
      <w:tr>
        <w:trPr>
          <w:trHeight w:val="216"/>
        </w:trPr>
        <w:tc>
          <w:tcPr>
            <w:tcW w:w="20" w:type="dxa"/>
            <w:vAlign w:val="bottom"/>
          </w:tcPr>
          <w:p>
            <w:pPr>
              <w:spacing w:after="0"/>
              <w:rPr>
                <w:sz w:val="18"/>
                <w:szCs w:val="18"/>
                <w:color w:val="auto"/>
              </w:rPr>
            </w:pPr>
          </w:p>
        </w:tc>
        <w:tc>
          <w:tcPr>
            <w:tcW w:w="3960" w:type="dxa"/>
            <w:vAlign w:val="bottom"/>
            <w:shd w:val="clear" w:color="auto" w:fill="CCEEFF"/>
          </w:tcPr>
          <w:p>
            <w:pPr>
              <w:spacing w:after="0"/>
              <w:rPr>
                <w:sz w:val="20"/>
                <w:szCs w:val="20"/>
                <w:color w:val="auto"/>
              </w:rPr>
            </w:pPr>
            <w:r>
              <w:rPr>
                <w:rFonts w:ascii="Arial" w:cs="Arial" w:eastAsia="Arial" w:hAnsi="Arial"/>
                <w:sz w:val="18"/>
                <w:szCs w:val="18"/>
                <w:color w:val="auto"/>
              </w:rPr>
              <w:t>Expected life of the option in years</w:t>
            </w:r>
          </w:p>
        </w:tc>
        <w:tc>
          <w:tcPr>
            <w:tcW w:w="2020" w:type="dxa"/>
            <w:vAlign w:val="bottom"/>
            <w:shd w:val="clear" w:color="auto" w:fill="CCEEFF"/>
          </w:tcPr>
          <w:p>
            <w:pPr>
              <w:spacing w:after="0"/>
              <w:rPr>
                <w:sz w:val="18"/>
                <w:szCs w:val="18"/>
                <w:color w:val="auto"/>
              </w:rPr>
            </w:pPr>
          </w:p>
        </w:tc>
        <w:tc>
          <w:tcPr>
            <w:tcW w:w="860" w:type="dxa"/>
            <w:vAlign w:val="bottom"/>
            <w:shd w:val="clear" w:color="auto" w:fill="CCEEFF"/>
          </w:tcPr>
          <w:p>
            <w:pPr>
              <w:jc w:val="right"/>
              <w:ind w:right="330"/>
              <w:spacing w:after="0"/>
              <w:rPr>
                <w:sz w:val="20"/>
                <w:szCs w:val="20"/>
                <w:color w:val="auto"/>
              </w:rPr>
            </w:pPr>
            <w:r>
              <w:rPr>
                <w:rFonts w:ascii="Arial" w:cs="Arial" w:eastAsia="Arial" w:hAnsi="Arial"/>
                <w:sz w:val="18"/>
                <w:szCs w:val="18"/>
                <w:color w:val="auto"/>
              </w:rPr>
              <w:t>6.10</w:t>
            </w:r>
          </w:p>
        </w:tc>
        <w:tc>
          <w:tcPr>
            <w:tcW w:w="1520" w:type="dxa"/>
            <w:vAlign w:val="bottom"/>
            <w:shd w:val="clear" w:color="auto" w:fill="CCEEFF"/>
          </w:tcPr>
          <w:p>
            <w:pPr>
              <w:jc w:val="right"/>
              <w:ind w:right="113"/>
              <w:spacing w:after="0"/>
              <w:rPr>
                <w:sz w:val="20"/>
                <w:szCs w:val="20"/>
                <w:color w:val="auto"/>
              </w:rPr>
            </w:pPr>
            <w:r>
              <w:rPr>
                <w:rFonts w:ascii="Arial" w:cs="Arial" w:eastAsia="Arial" w:hAnsi="Arial"/>
                <w:sz w:val="18"/>
                <w:szCs w:val="18"/>
                <w:color w:val="auto"/>
              </w:rPr>
              <w:t>6.25</w:t>
            </w:r>
          </w:p>
        </w:tc>
      </w:tr>
      <w:tr>
        <w:trPr>
          <w:trHeight w:val="216"/>
        </w:trPr>
        <w:tc>
          <w:tcPr>
            <w:tcW w:w="20" w:type="dxa"/>
            <w:vAlign w:val="bottom"/>
          </w:tcPr>
          <w:p>
            <w:pPr>
              <w:spacing w:after="0"/>
              <w:rPr>
                <w:sz w:val="18"/>
                <w:szCs w:val="18"/>
                <w:color w:val="auto"/>
              </w:rPr>
            </w:pPr>
          </w:p>
        </w:tc>
        <w:tc>
          <w:tcPr>
            <w:tcW w:w="3960" w:type="dxa"/>
            <w:vAlign w:val="bottom"/>
          </w:tcPr>
          <w:p>
            <w:pPr>
              <w:spacing w:after="0"/>
              <w:rPr>
                <w:sz w:val="20"/>
                <w:szCs w:val="20"/>
                <w:color w:val="auto"/>
              </w:rPr>
            </w:pPr>
            <w:r>
              <w:rPr>
                <w:rFonts w:ascii="Arial" w:cs="Arial" w:eastAsia="Arial" w:hAnsi="Arial"/>
                <w:sz w:val="18"/>
                <w:szCs w:val="18"/>
                <w:color w:val="auto"/>
              </w:rPr>
              <w:t>Expected volatility</w:t>
            </w:r>
          </w:p>
        </w:tc>
        <w:tc>
          <w:tcPr>
            <w:tcW w:w="2020" w:type="dxa"/>
            <w:vAlign w:val="bottom"/>
          </w:tcPr>
          <w:p>
            <w:pPr>
              <w:jc w:val="right"/>
              <w:spacing w:after="0"/>
              <w:rPr>
                <w:sz w:val="20"/>
                <w:szCs w:val="20"/>
                <w:color w:val="auto"/>
              </w:rPr>
            </w:pPr>
            <w:r>
              <w:rPr>
                <w:rFonts w:ascii="Arial" w:cs="Arial" w:eastAsia="Arial" w:hAnsi="Arial"/>
                <w:sz w:val="18"/>
                <w:szCs w:val="18"/>
                <w:color w:val="auto"/>
              </w:rPr>
              <w:t>24.7%</w:t>
            </w:r>
          </w:p>
        </w:tc>
        <w:tc>
          <w:tcPr>
            <w:tcW w:w="860" w:type="dxa"/>
            <w:vAlign w:val="bottom"/>
          </w:tcPr>
          <w:p>
            <w:pPr>
              <w:jc w:val="right"/>
              <w:ind w:right="190"/>
              <w:spacing w:after="0"/>
              <w:rPr>
                <w:sz w:val="20"/>
                <w:szCs w:val="20"/>
                <w:color w:val="auto"/>
              </w:rPr>
            </w:pPr>
            <w:r>
              <w:rPr>
                <w:rFonts w:ascii="Arial" w:cs="Arial" w:eastAsia="Arial" w:hAnsi="Arial"/>
                <w:sz w:val="18"/>
                <w:szCs w:val="18"/>
                <w:color w:val="auto"/>
                <w:w w:val="90"/>
              </w:rPr>
              <w:t>- 26.9%</w:t>
            </w:r>
          </w:p>
        </w:tc>
        <w:tc>
          <w:tcPr>
            <w:tcW w:w="1520" w:type="dxa"/>
            <w:vAlign w:val="bottom"/>
          </w:tcPr>
          <w:p>
            <w:pPr>
              <w:jc w:val="right"/>
              <w:spacing w:after="0"/>
              <w:rPr>
                <w:sz w:val="20"/>
                <w:szCs w:val="20"/>
                <w:color w:val="auto"/>
              </w:rPr>
            </w:pPr>
            <w:r>
              <w:rPr>
                <w:rFonts w:ascii="Arial" w:cs="Arial" w:eastAsia="Arial" w:hAnsi="Arial"/>
                <w:sz w:val="18"/>
                <w:szCs w:val="18"/>
                <w:color w:val="auto"/>
              </w:rPr>
              <w:t>26.4% - 27.0%</w:t>
            </w:r>
          </w:p>
        </w:tc>
      </w:tr>
      <w:tr>
        <w:trPr>
          <w:trHeight w:val="216"/>
        </w:trPr>
        <w:tc>
          <w:tcPr>
            <w:tcW w:w="20" w:type="dxa"/>
            <w:vAlign w:val="bottom"/>
          </w:tcPr>
          <w:p>
            <w:pPr>
              <w:spacing w:after="0"/>
              <w:rPr>
                <w:sz w:val="18"/>
                <w:szCs w:val="18"/>
                <w:color w:val="auto"/>
              </w:rPr>
            </w:pPr>
          </w:p>
        </w:tc>
        <w:tc>
          <w:tcPr>
            <w:tcW w:w="3960" w:type="dxa"/>
            <w:vAlign w:val="bottom"/>
            <w:shd w:val="clear" w:color="auto" w:fill="CCEEFF"/>
          </w:tcPr>
          <w:p>
            <w:pPr>
              <w:spacing w:after="0"/>
              <w:rPr>
                <w:sz w:val="20"/>
                <w:szCs w:val="20"/>
                <w:color w:val="auto"/>
              </w:rPr>
            </w:pPr>
            <w:r>
              <w:rPr>
                <w:rFonts w:ascii="Arial" w:cs="Arial" w:eastAsia="Arial" w:hAnsi="Arial"/>
                <w:sz w:val="18"/>
                <w:szCs w:val="18"/>
                <w:color w:val="auto"/>
              </w:rPr>
              <w:t>Fair value of option</w:t>
            </w:r>
          </w:p>
        </w:tc>
        <w:tc>
          <w:tcPr>
            <w:tcW w:w="2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  0.69</w:t>
            </w:r>
          </w:p>
        </w:tc>
        <w:tc>
          <w:tcPr>
            <w:tcW w:w="860" w:type="dxa"/>
            <w:vAlign w:val="bottom"/>
            <w:shd w:val="clear" w:color="auto" w:fill="CCEEFF"/>
          </w:tcPr>
          <w:p>
            <w:pPr>
              <w:jc w:val="right"/>
              <w:ind w:right="330"/>
              <w:spacing w:after="0"/>
              <w:rPr>
                <w:sz w:val="20"/>
                <w:szCs w:val="20"/>
                <w:color w:val="auto"/>
              </w:rPr>
            </w:pPr>
            <w:r>
              <w:rPr>
                <w:rFonts w:ascii="Arial" w:cs="Arial" w:eastAsia="Arial" w:hAnsi="Arial"/>
                <w:sz w:val="18"/>
                <w:szCs w:val="18"/>
                <w:color w:val="auto"/>
                <w:w w:val="91"/>
              </w:rPr>
              <w:t>- $1.1</w:t>
            </w:r>
          </w:p>
        </w:tc>
        <w:tc>
          <w:tcPr>
            <w:tcW w:w="1520" w:type="dxa"/>
            <w:vAlign w:val="bottom"/>
            <w:shd w:val="clear" w:color="auto" w:fill="CCEEFF"/>
          </w:tcPr>
          <w:p>
            <w:pPr>
              <w:jc w:val="right"/>
              <w:ind w:right="113"/>
              <w:spacing w:after="0"/>
              <w:rPr>
                <w:sz w:val="20"/>
                <w:szCs w:val="20"/>
                <w:color w:val="auto"/>
              </w:rPr>
            </w:pPr>
            <w:r>
              <w:rPr>
                <w:rFonts w:ascii="Arial" w:cs="Arial" w:eastAsia="Arial" w:hAnsi="Arial"/>
                <w:sz w:val="18"/>
                <w:szCs w:val="18"/>
                <w:color w:val="auto"/>
              </w:rPr>
              <w:t>$ 0.64 - $1.04</w:t>
            </w:r>
          </w:p>
        </w:tc>
      </w:tr>
    </w:tbl>
    <w:p>
      <w:pPr>
        <w:spacing w:after="0" w:line="94" w:lineRule="exact"/>
        <w:rPr>
          <w:sz w:val="20"/>
          <w:szCs w:val="20"/>
          <w:color w:val="auto"/>
        </w:rPr>
      </w:pPr>
    </w:p>
    <w:p>
      <w:pPr>
        <w:ind w:left="440" w:right="40"/>
        <w:spacing w:after="0" w:line="312" w:lineRule="auto"/>
        <w:rPr>
          <w:sz w:val="20"/>
          <w:szCs w:val="20"/>
          <w:color w:val="auto"/>
        </w:rPr>
      </w:pPr>
      <w:r>
        <w:rPr>
          <w:rFonts w:ascii="Arial" w:cs="Arial" w:eastAsia="Arial" w:hAnsi="Arial"/>
          <w:sz w:val="16"/>
          <w:szCs w:val="16"/>
          <w:color w:val="auto"/>
        </w:rPr>
        <w:t>The fair value of each option award was estimated on the grant date using the Black-Scholes option-pricing model and will be expensed under the straight-line method. Stock-based compensation expense was approximately $412,000 and $445,000 for the years ended March 31, 2018 and 2017, respectively, and is included in the caption selling, general and administrative in the accompanying consolidated statements of operations.</w:t>
      </w:r>
    </w:p>
    <w:p>
      <w:pPr>
        <w:spacing w:after="0" w:line="39" w:lineRule="exact"/>
        <w:rPr>
          <w:sz w:val="20"/>
          <w:szCs w:val="20"/>
          <w:color w:val="auto"/>
        </w:rPr>
      </w:pPr>
    </w:p>
    <w:p>
      <w:pPr>
        <w:ind w:left="440"/>
        <w:spacing w:after="0" w:line="277" w:lineRule="auto"/>
        <w:rPr>
          <w:sz w:val="20"/>
          <w:szCs w:val="20"/>
          <w:color w:val="auto"/>
        </w:rPr>
      </w:pPr>
      <w:r>
        <w:rPr>
          <w:rFonts w:ascii="Arial" w:cs="Arial" w:eastAsia="Arial" w:hAnsi="Arial"/>
          <w:sz w:val="18"/>
          <w:szCs w:val="18"/>
          <w:color w:val="auto"/>
        </w:rPr>
        <w:t>As of March 31, 2018, there was approximately $845,667 of unrecognized stock-based compensation expense under compensation plans, which is expected to be recognized on a straight-line basis over a weighted average period of approximately 1.4 years.</w:t>
      </w:r>
    </w:p>
    <w:p>
      <w:pPr>
        <w:spacing w:after="0" w:line="62"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following table summarizes stock option activity for the years ended March 31, 2018 and 2017:</w:t>
      </w:r>
    </w:p>
    <w:p>
      <w:pPr>
        <w:spacing w:after="0" w:line="231" w:lineRule="exact"/>
        <w:rPr>
          <w:sz w:val="20"/>
          <w:szCs w:val="20"/>
          <w:color w:val="auto"/>
        </w:rPr>
      </w:pPr>
    </w:p>
    <w:tbl>
      <w:tblPr>
        <w:tblLayout w:type="fixed"/>
        <w:tblInd w:w="44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9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80" w:type="dxa"/>
            <w:vAlign w:val="bottom"/>
          </w:tcPr>
          <w:p>
            <w:pPr>
              <w:jc w:val="center"/>
              <w:ind w:right="34"/>
              <w:spacing w:after="0"/>
              <w:rPr>
                <w:sz w:val="20"/>
                <w:szCs w:val="20"/>
                <w:color w:val="auto"/>
              </w:rPr>
            </w:pPr>
            <w:r>
              <w:rPr>
                <w:rFonts w:ascii="Arial" w:cs="Arial" w:eastAsia="Arial" w:hAnsi="Arial"/>
                <w:sz w:val="14"/>
                <w:szCs w:val="14"/>
                <w:b w:val="1"/>
                <w:bCs w:val="1"/>
                <w:color w:val="auto"/>
                <w:w w:val="91"/>
              </w:rPr>
              <w:t>Weighted</w:t>
            </w:r>
          </w:p>
        </w:tc>
        <w:tc>
          <w:tcPr>
            <w:tcW w:w="560" w:type="dxa"/>
            <w:vAlign w:val="bottom"/>
          </w:tcPr>
          <w:p>
            <w:pPr>
              <w:spacing w:after="0"/>
              <w:rPr>
                <w:sz w:val="14"/>
                <w:szCs w:val="14"/>
                <w:color w:val="auto"/>
              </w:rPr>
            </w:pPr>
          </w:p>
        </w:tc>
        <w:tc>
          <w:tcPr>
            <w:tcW w:w="920" w:type="dxa"/>
            <w:vAlign w:val="bottom"/>
          </w:tcPr>
          <w:p>
            <w:pPr>
              <w:jc w:val="center"/>
              <w:spacing w:after="0"/>
              <w:rPr>
                <w:sz w:val="20"/>
                <w:szCs w:val="20"/>
                <w:color w:val="auto"/>
              </w:rPr>
            </w:pPr>
            <w:r>
              <w:rPr>
                <w:rFonts w:ascii="Arial" w:cs="Arial" w:eastAsia="Arial" w:hAnsi="Arial"/>
                <w:sz w:val="14"/>
                <w:szCs w:val="14"/>
                <w:b w:val="1"/>
                <w:bCs w:val="1"/>
                <w:color w:val="auto"/>
                <w:w w:val="91"/>
              </w:rPr>
              <w:t>Weighted-</w:t>
            </w:r>
          </w:p>
        </w:tc>
        <w:tc>
          <w:tcPr>
            <w:tcW w:w="540" w:type="dxa"/>
            <w:vAlign w:val="bottom"/>
          </w:tcPr>
          <w:p>
            <w:pPr>
              <w:spacing w:after="0"/>
              <w:rPr>
                <w:sz w:val="14"/>
                <w:szCs w:val="14"/>
                <w:color w:val="auto"/>
              </w:rPr>
            </w:pPr>
          </w:p>
        </w:tc>
        <w:tc>
          <w:tcPr>
            <w:tcW w:w="880" w:type="dxa"/>
            <w:vAlign w:val="bottom"/>
            <w:gridSpan w:val="2"/>
            <w:vMerge w:val="restart"/>
          </w:tcPr>
          <w:p>
            <w:pPr>
              <w:jc w:val="center"/>
              <w:ind w:right="60"/>
              <w:spacing w:after="0"/>
              <w:rPr>
                <w:sz w:val="20"/>
                <w:szCs w:val="20"/>
                <w:color w:val="auto"/>
              </w:rPr>
            </w:pPr>
            <w:r>
              <w:rPr>
                <w:rFonts w:ascii="Arial" w:cs="Arial" w:eastAsia="Arial" w:hAnsi="Arial"/>
                <w:sz w:val="14"/>
                <w:szCs w:val="14"/>
                <w:b w:val="1"/>
                <w:bCs w:val="1"/>
                <w:color w:val="auto"/>
                <w:w w:val="89"/>
              </w:rPr>
              <w:t>Aggregate</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960" w:type="dxa"/>
            <w:vAlign w:val="bottom"/>
          </w:tcPr>
          <w:p>
            <w:pPr>
              <w:spacing w:after="0"/>
              <w:rPr>
                <w:sz w:val="12"/>
                <w:szCs w:val="12"/>
                <w:color w:val="auto"/>
              </w:rPr>
            </w:pPr>
          </w:p>
        </w:tc>
        <w:tc>
          <w:tcPr>
            <w:tcW w:w="1100" w:type="dxa"/>
            <w:vAlign w:val="bottom"/>
            <w:gridSpan w:val="2"/>
            <w:vMerge w:val="restart"/>
          </w:tcPr>
          <w:p>
            <w:pPr>
              <w:jc w:val="right"/>
              <w:ind w:right="380"/>
              <w:spacing w:after="0"/>
              <w:rPr>
                <w:sz w:val="20"/>
                <w:szCs w:val="20"/>
                <w:color w:val="auto"/>
              </w:rPr>
            </w:pPr>
            <w:r>
              <w:rPr>
                <w:rFonts w:ascii="Arial" w:cs="Arial" w:eastAsia="Arial" w:hAnsi="Arial"/>
                <w:sz w:val="14"/>
                <w:szCs w:val="14"/>
                <w:b w:val="1"/>
                <w:bCs w:val="1"/>
                <w:color w:val="auto"/>
                <w:w w:val="99"/>
              </w:rPr>
              <w:t>Number of</w:t>
            </w:r>
          </w:p>
        </w:tc>
        <w:tc>
          <w:tcPr>
            <w:tcW w:w="2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tcPr>
          <w:p>
            <w:pPr>
              <w:jc w:val="center"/>
              <w:ind w:right="34"/>
              <w:spacing w:after="0" w:line="149" w:lineRule="exact"/>
              <w:rPr>
                <w:sz w:val="20"/>
                <w:szCs w:val="20"/>
                <w:color w:val="auto"/>
              </w:rPr>
            </w:pPr>
            <w:r>
              <w:rPr>
                <w:rFonts w:ascii="Arial" w:cs="Arial" w:eastAsia="Arial" w:hAnsi="Arial"/>
                <w:sz w:val="14"/>
                <w:szCs w:val="14"/>
                <w:b w:val="1"/>
                <w:bCs w:val="1"/>
                <w:color w:val="auto"/>
                <w:w w:val="90"/>
              </w:rPr>
              <w:t>Average</w:t>
            </w:r>
          </w:p>
        </w:tc>
        <w:tc>
          <w:tcPr>
            <w:tcW w:w="560" w:type="dxa"/>
            <w:vAlign w:val="bottom"/>
          </w:tcPr>
          <w:p>
            <w:pPr>
              <w:spacing w:after="0"/>
              <w:rPr>
                <w:sz w:val="12"/>
                <w:szCs w:val="12"/>
                <w:color w:val="auto"/>
              </w:rPr>
            </w:pPr>
          </w:p>
        </w:tc>
        <w:tc>
          <w:tcPr>
            <w:tcW w:w="9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0"/>
              </w:rPr>
              <w:t>average</w:t>
            </w:r>
          </w:p>
        </w:tc>
        <w:tc>
          <w:tcPr>
            <w:tcW w:w="540" w:type="dxa"/>
            <w:vAlign w:val="bottom"/>
          </w:tcPr>
          <w:p>
            <w:pPr>
              <w:spacing w:after="0"/>
              <w:rPr>
                <w:sz w:val="12"/>
                <w:szCs w:val="12"/>
                <w:color w:val="auto"/>
              </w:rPr>
            </w:pPr>
          </w:p>
        </w:tc>
        <w:tc>
          <w:tcPr>
            <w:tcW w:w="88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960" w:type="dxa"/>
            <w:vAlign w:val="bottom"/>
          </w:tcPr>
          <w:p>
            <w:pPr>
              <w:spacing w:after="0"/>
              <w:rPr>
                <w:sz w:val="12"/>
                <w:szCs w:val="12"/>
                <w:color w:val="auto"/>
              </w:rPr>
            </w:pPr>
          </w:p>
        </w:tc>
        <w:tc>
          <w:tcPr>
            <w:tcW w:w="1100" w:type="dxa"/>
            <w:vAlign w:val="bottom"/>
            <w:gridSpan w:val="2"/>
            <w:vMerge w:val="continue"/>
          </w:tcPr>
          <w:p>
            <w:pPr>
              <w:spacing w:after="0"/>
              <w:rPr>
                <w:sz w:val="12"/>
                <w:szCs w:val="12"/>
                <w:color w:val="auto"/>
              </w:rPr>
            </w:pPr>
          </w:p>
        </w:tc>
        <w:tc>
          <w:tcPr>
            <w:tcW w:w="1160" w:type="dxa"/>
            <w:vAlign w:val="bottom"/>
            <w:gridSpan w:val="3"/>
          </w:tcPr>
          <w:p>
            <w:pPr>
              <w:jc w:val="right"/>
              <w:spacing w:after="0" w:line="149" w:lineRule="exact"/>
              <w:rPr>
                <w:sz w:val="20"/>
                <w:szCs w:val="20"/>
                <w:color w:val="auto"/>
              </w:rPr>
            </w:pPr>
            <w:r>
              <w:rPr>
                <w:rFonts w:ascii="Arial" w:cs="Arial" w:eastAsia="Arial" w:hAnsi="Arial"/>
                <w:sz w:val="14"/>
                <w:szCs w:val="14"/>
                <w:b w:val="1"/>
                <w:bCs w:val="1"/>
                <w:color w:val="auto"/>
              </w:rPr>
              <w:t>Exercise Price</w:t>
            </w:r>
          </w:p>
        </w:tc>
        <w:tc>
          <w:tcPr>
            <w:tcW w:w="560" w:type="dxa"/>
            <w:vAlign w:val="bottom"/>
          </w:tcPr>
          <w:p>
            <w:pPr>
              <w:spacing w:after="0"/>
              <w:rPr>
                <w:sz w:val="12"/>
                <w:szCs w:val="12"/>
                <w:color w:val="auto"/>
              </w:rPr>
            </w:pPr>
          </w:p>
        </w:tc>
        <w:tc>
          <w:tcPr>
            <w:tcW w:w="9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2"/>
              </w:rPr>
              <w:t>Remaining</w:t>
            </w:r>
          </w:p>
        </w:tc>
        <w:tc>
          <w:tcPr>
            <w:tcW w:w="540" w:type="dxa"/>
            <w:vAlign w:val="bottom"/>
          </w:tcPr>
          <w:p>
            <w:pPr>
              <w:spacing w:after="0"/>
              <w:rPr>
                <w:sz w:val="12"/>
                <w:szCs w:val="12"/>
                <w:color w:val="auto"/>
              </w:rPr>
            </w:pPr>
          </w:p>
        </w:tc>
        <w:tc>
          <w:tcPr>
            <w:tcW w:w="880" w:type="dxa"/>
            <w:vAlign w:val="bottom"/>
            <w:gridSpan w:val="2"/>
          </w:tcPr>
          <w:p>
            <w:pPr>
              <w:jc w:val="center"/>
              <w:ind w:right="60"/>
              <w:spacing w:after="0" w:line="149" w:lineRule="exact"/>
              <w:rPr>
                <w:sz w:val="20"/>
                <w:szCs w:val="20"/>
                <w:color w:val="auto"/>
              </w:rPr>
            </w:pPr>
            <w:r>
              <w:rPr>
                <w:rFonts w:ascii="Arial" w:cs="Arial" w:eastAsia="Arial" w:hAnsi="Arial"/>
                <w:sz w:val="14"/>
                <w:szCs w:val="14"/>
                <w:b w:val="1"/>
                <w:bCs w:val="1"/>
                <w:color w:val="auto"/>
                <w:w w:val="99"/>
              </w:rPr>
              <w:t>Intrinsic</w:t>
            </w:r>
          </w:p>
        </w:tc>
        <w:tc>
          <w:tcPr>
            <w:tcW w:w="0" w:type="dxa"/>
            <w:vAlign w:val="bottom"/>
          </w:tcPr>
          <w:p>
            <w:pPr>
              <w:spacing w:after="0"/>
              <w:rPr>
                <w:sz w:val="1"/>
                <w:szCs w:val="1"/>
                <w:color w:val="auto"/>
              </w:rPr>
            </w:pPr>
          </w:p>
        </w:tc>
      </w:tr>
      <w:tr>
        <w:trPr>
          <w:trHeight w:val="157"/>
        </w:trPr>
        <w:tc>
          <w:tcPr>
            <w:tcW w:w="20" w:type="dxa"/>
            <w:vAlign w:val="bottom"/>
          </w:tcPr>
          <w:p>
            <w:pPr>
              <w:spacing w:after="0"/>
              <w:rPr>
                <w:sz w:val="13"/>
                <w:szCs w:val="13"/>
                <w:color w:val="auto"/>
              </w:rPr>
            </w:pPr>
          </w:p>
        </w:tc>
        <w:tc>
          <w:tcPr>
            <w:tcW w:w="4960" w:type="dxa"/>
            <w:vAlign w:val="bottom"/>
          </w:tcPr>
          <w:p>
            <w:pPr>
              <w:spacing w:after="0"/>
              <w:rPr>
                <w:sz w:val="13"/>
                <w:szCs w:val="13"/>
                <w:color w:val="auto"/>
              </w:rPr>
            </w:pPr>
          </w:p>
        </w:tc>
        <w:tc>
          <w:tcPr>
            <w:tcW w:w="1100" w:type="dxa"/>
            <w:vAlign w:val="bottom"/>
            <w:gridSpan w:val="2"/>
          </w:tcPr>
          <w:p>
            <w:pPr>
              <w:jc w:val="right"/>
              <w:ind w:right="520"/>
              <w:spacing w:after="0" w:line="157" w:lineRule="exact"/>
              <w:rPr>
                <w:sz w:val="20"/>
                <w:szCs w:val="20"/>
                <w:color w:val="auto"/>
              </w:rPr>
            </w:pPr>
            <w:r>
              <w:rPr>
                <w:rFonts w:ascii="Arial" w:cs="Arial" w:eastAsia="Arial" w:hAnsi="Arial"/>
                <w:sz w:val="14"/>
                <w:szCs w:val="14"/>
                <w:b w:val="1"/>
                <w:bCs w:val="1"/>
                <w:color w:val="auto"/>
              </w:rPr>
              <w:t>Shares</w:t>
            </w:r>
          </w:p>
        </w:tc>
        <w:tc>
          <w:tcPr>
            <w:tcW w:w="2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80" w:type="dxa"/>
            <w:vAlign w:val="bottom"/>
          </w:tcPr>
          <w:p>
            <w:pPr>
              <w:jc w:val="center"/>
              <w:ind w:right="14"/>
              <w:spacing w:after="0" w:line="157" w:lineRule="exact"/>
              <w:rPr>
                <w:sz w:val="20"/>
                <w:szCs w:val="20"/>
                <w:color w:val="auto"/>
              </w:rPr>
            </w:pPr>
            <w:r>
              <w:rPr>
                <w:rFonts w:ascii="Arial" w:cs="Arial" w:eastAsia="Arial" w:hAnsi="Arial"/>
                <w:sz w:val="14"/>
                <w:szCs w:val="14"/>
                <w:b w:val="1"/>
                <w:bCs w:val="1"/>
                <w:color w:val="auto"/>
                <w:w w:val="91"/>
              </w:rPr>
              <w:t>Per Share</w:t>
            </w:r>
          </w:p>
        </w:tc>
        <w:tc>
          <w:tcPr>
            <w:tcW w:w="1480" w:type="dxa"/>
            <w:vAlign w:val="bottom"/>
            <w:gridSpan w:val="2"/>
          </w:tcPr>
          <w:p>
            <w:pPr>
              <w:jc w:val="right"/>
              <w:spacing w:after="0" w:line="157" w:lineRule="exact"/>
              <w:rPr>
                <w:sz w:val="20"/>
                <w:szCs w:val="20"/>
                <w:color w:val="auto"/>
              </w:rPr>
            </w:pPr>
            <w:r>
              <w:rPr>
                <w:rFonts w:ascii="Arial" w:cs="Arial" w:eastAsia="Arial" w:hAnsi="Arial"/>
                <w:sz w:val="14"/>
                <w:szCs w:val="14"/>
                <w:b w:val="1"/>
                <w:bCs w:val="1"/>
                <w:color w:val="auto"/>
              </w:rPr>
              <w:t>Contract Term</w:t>
            </w:r>
          </w:p>
        </w:tc>
        <w:tc>
          <w:tcPr>
            <w:tcW w:w="540" w:type="dxa"/>
            <w:vAlign w:val="bottom"/>
          </w:tcPr>
          <w:p>
            <w:pPr>
              <w:spacing w:after="0"/>
              <w:rPr>
                <w:sz w:val="13"/>
                <w:szCs w:val="13"/>
                <w:color w:val="auto"/>
              </w:rPr>
            </w:pPr>
          </w:p>
        </w:tc>
        <w:tc>
          <w:tcPr>
            <w:tcW w:w="880" w:type="dxa"/>
            <w:vAlign w:val="bottom"/>
            <w:gridSpan w:val="2"/>
          </w:tcPr>
          <w:p>
            <w:pPr>
              <w:jc w:val="center"/>
              <w:ind w:right="60"/>
              <w:spacing w:after="0" w:line="157" w:lineRule="exact"/>
              <w:rPr>
                <w:sz w:val="20"/>
                <w:szCs w:val="20"/>
                <w:color w:val="auto"/>
              </w:rPr>
            </w:pPr>
            <w:r>
              <w:rPr>
                <w:rFonts w:ascii="Arial" w:cs="Arial" w:eastAsia="Arial" w:hAnsi="Arial"/>
                <w:sz w:val="14"/>
                <w:szCs w:val="14"/>
                <w:b w:val="1"/>
                <w:bCs w:val="1"/>
                <w:color w:val="auto"/>
                <w:w w:val="90"/>
              </w:rPr>
              <w:t>Value</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96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920" w:type="dxa"/>
            <w:vAlign w:val="bottom"/>
          </w:tcPr>
          <w:p>
            <w:pPr>
              <w:jc w:val="center"/>
              <w:spacing w:after="0"/>
              <w:rPr>
                <w:sz w:val="20"/>
                <w:szCs w:val="20"/>
                <w:color w:val="auto"/>
              </w:rPr>
            </w:pPr>
            <w:r>
              <w:rPr>
                <w:rFonts w:ascii="Arial" w:cs="Arial" w:eastAsia="Arial" w:hAnsi="Arial"/>
                <w:sz w:val="18"/>
                <w:szCs w:val="18"/>
                <w:i w:val="1"/>
                <w:iCs w:val="1"/>
                <w:color w:val="auto"/>
                <w:w w:val="89"/>
              </w:rPr>
              <w:t>(years)</w:t>
            </w:r>
          </w:p>
        </w:tc>
        <w:tc>
          <w:tcPr>
            <w:tcW w:w="54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Outstanding March 31, 2016</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3,703,813</w:t>
            </w:r>
          </w:p>
        </w:tc>
        <w:tc>
          <w:tcPr>
            <w:tcW w:w="3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0.82</w:t>
            </w:r>
          </w:p>
        </w:tc>
        <w:tc>
          <w:tcPr>
            <w:tcW w:w="56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60" w:type="dxa"/>
            <w:vAlign w:val="bottom"/>
          </w:tcPr>
          <w:p>
            <w:pPr>
              <w:spacing w:after="0"/>
              <w:rPr>
                <w:sz w:val="20"/>
                <w:szCs w:val="20"/>
                <w:color w:val="auto"/>
              </w:rPr>
            </w:pPr>
            <w:r>
              <w:rPr>
                <w:rFonts w:ascii="Arial" w:cs="Arial" w:eastAsia="Arial" w:hAnsi="Arial"/>
                <w:sz w:val="18"/>
                <w:szCs w:val="18"/>
                <w:color w:val="auto"/>
              </w:rPr>
              <w:t>Granted</w:t>
            </w:r>
          </w:p>
        </w:tc>
        <w:tc>
          <w:tcPr>
            <w:tcW w:w="780" w:type="dxa"/>
            <w:vAlign w:val="bottom"/>
          </w:tcPr>
          <w:p>
            <w:pPr>
              <w:jc w:val="right"/>
              <w:spacing w:after="0"/>
              <w:rPr>
                <w:sz w:val="20"/>
                <w:szCs w:val="20"/>
                <w:color w:val="auto"/>
              </w:rPr>
            </w:pPr>
            <w:r>
              <w:rPr>
                <w:rFonts w:ascii="Arial" w:cs="Arial" w:eastAsia="Arial" w:hAnsi="Arial"/>
                <w:sz w:val="18"/>
                <w:szCs w:val="18"/>
                <w:color w:val="auto"/>
                <w:w w:val="92"/>
              </w:rPr>
              <w:t>1,097,104</w:t>
            </w:r>
          </w:p>
        </w:tc>
        <w:tc>
          <w:tcPr>
            <w:tcW w:w="3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1.58</w:t>
            </w:r>
          </w:p>
        </w:tc>
        <w:tc>
          <w:tcPr>
            <w:tcW w:w="5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60" w:type="dxa"/>
            <w:vAlign w:val="bottom"/>
            <w:shd w:val="clear" w:color="auto" w:fill="CCEEFF"/>
          </w:tcPr>
          <w:p>
            <w:pPr>
              <w:spacing w:after="0"/>
              <w:rPr>
                <w:sz w:val="20"/>
                <w:szCs w:val="20"/>
                <w:color w:val="auto"/>
              </w:rPr>
            </w:pPr>
            <w:r>
              <w:rPr>
                <w:rFonts w:ascii="Arial" w:cs="Arial" w:eastAsia="Arial" w:hAnsi="Arial"/>
                <w:sz w:val="18"/>
                <w:szCs w:val="18"/>
                <w:color w:val="auto"/>
              </w:rPr>
              <w:t>Exercised</w:t>
            </w:r>
          </w:p>
        </w:tc>
        <w:tc>
          <w:tcPr>
            <w:tcW w:w="11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(508,262)</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0.52</w:t>
            </w:r>
          </w:p>
        </w:tc>
        <w:tc>
          <w:tcPr>
            <w:tcW w:w="56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960" w:type="dxa"/>
            <w:vAlign w:val="bottom"/>
          </w:tcPr>
          <w:p>
            <w:pPr>
              <w:spacing w:after="0"/>
              <w:rPr>
                <w:sz w:val="20"/>
                <w:szCs w:val="20"/>
                <w:color w:val="auto"/>
              </w:rPr>
            </w:pPr>
            <w:r>
              <w:rPr>
                <w:rFonts w:ascii="Arial" w:cs="Arial" w:eastAsia="Arial" w:hAnsi="Arial"/>
                <w:sz w:val="18"/>
                <w:szCs w:val="18"/>
                <w:color w:val="auto"/>
              </w:rPr>
              <w:t>Forfeited</w:t>
            </w:r>
          </w:p>
        </w:tc>
        <w:tc>
          <w:tcPr>
            <w:tcW w:w="1100" w:type="dxa"/>
            <w:vAlign w:val="bottom"/>
            <w:gridSpan w:val="2"/>
          </w:tcPr>
          <w:p>
            <w:pPr>
              <w:jc w:val="right"/>
              <w:ind w:right="280"/>
              <w:spacing w:after="0"/>
              <w:rPr>
                <w:sz w:val="20"/>
                <w:szCs w:val="20"/>
                <w:color w:val="auto"/>
              </w:rPr>
            </w:pPr>
            <w:r>
              <w:rPr>
                <w:rFonts w:ascii="Arial" w:cs="Arial" w:eastAsia="Arial" w:hAnsi="Arial"/>
                <w:sz w:val="18"/>
                <w:szCs w:val="18"/>
                <w:color w:val="auto"/>
              </w:rPr>
              <w:t>(122,565)</w:t>
            </w:r>
          </w:p>
        </w:tc>
        <w:tc>
          <w:tcPr>
            <w:tcW w:w="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1.20</w:t>
            </w:r>
          </w:p>
        </w:tc>
        <w:tc>
          <w:tcPr>
            <w:tcW w:w="56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Outstanding March 31, 2017</w:t>
            </w:r>
          </w:p>
        </w:tc>
        <w:tc>
          <w:tcPr>
            <w:tcW w:w="7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2"/>
              </w:rPr>
              <w:t>4,170,090</w:t>
            </w:r>
          </w:p>
        </w:tc>
        <w:tc>
          <w:tcPr>
            <w:tcW w:w="3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1.03</w:t>
            </w:r>
          </w:p>
        </w:tc>
        <w:tc>
          <w:tcPr>
            <w:tcW w:w="560" w:type="dxa"/>
            <w:vAlign w:val="bottom"/>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6.55</w:t>
            </w:r>
          </w:p>
        </w:tc>
        <w:tc>
          <w:tcPr>
            <w:tcW w:w="54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60" w:type="dxa"/>
            <w:vAlign w:val="bottom"/>
          </w:tcPr>
          <w:p>
            <w:pPr>
              <w:spacing w:after="0"/>
              <w:rPr>
                <w:sz w:val="20"/>
                <w:szCs w:val="20"/>
                <w:color w:val="auto"/>
              </w:rPr>
            </w:pPr>
            <w:r>
              <w:rPr>
                <w:rFonts w:ascii="Arial" w:cs="Arial" w:eastAsia="Arial" w:hAnsi="Arial"/>
                <w:sz w:val="18"/>
                <w:szCs w:val="18"/>
                <w:color w:val="auto"/>
              </w:rPr>
              <w:t>Granted</w:t>
            </w:r>
          </w:p>
        </w:tc>
        <w:tc>
          <w:tcPr>
            <w:tcW w:w="780" w:type="dxa"/>
            <w:vAlign w:val="bottom"/>
          </w:tcPr>
          <w:p>
            <w:pPr>
              <w:jc w:val="right"/>
              <w:spacing w:after="0"/>
              <w:rPr>
                <w:sz w:val="20"/>
                <w:szCs w:val="20"/>
                <w:color w:val="auto"/>
              </w:rPr>
            </w:pPr>
            <w:r>
              <w:rPr>
                <w:rFonts w:ascii="Arial" w:cs="Arial" w:eastAsia="Arial" w:hAnsi="Arial"/>
                <w:sz w:val="18"/>
                <w:szCs w:val="18"/>
                <w:color w:val="auto"/>
              </w:rPr>
              <w:t>487,760</w:t>
            </w:r>
          </w:p>
        </w:tc>
        <w:tc>
          <w:tcPr>
            <w:tcW w:w="3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2.36</w:t>
            </w:r>
          </w:p>
        </w:tc>
        <w:tc>
          <w:tcPr>
            <w:tcW w:w="5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60" w:type="dxa"/>
            <w:vAlign w:val="bottom"/>
            <w:shd w:val="clear" w:color="auto" w:fill="CCEEFF"/>
          </w:tcPr>
          <w:p>
            <w:pPr>
              <w:spacing w:after="0"/>
              <w:rPr>
                <w:sz w:val="20"/>
                <w:szCs w:val="20"/>
                <w:color w:val="auto"/>
              </w:rPr>
            </w:pPr>
            <w:r>
              <w:rPr>
                <w:rFonts w:ascii="Arial" w:cs="Arial" w:eastAsia="Arial" w:hAnsi="Arial"/>
                <w:sz w:val="18"/>
                <w:szCs w:val="18"/>
                <w:color w:val="auto"/>
              </w:rPr>
              <w:t>Exercised</w:t>
            </w:r>
          </w:p>
        </w:tc>
        <w:tc>
          <w:tcPr>
            <w:tcW w:w="11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(704,958)</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0.59</w:t>
            </w:r>
          </w:p>
        </w:tc>
        <w:tc>
          <w:tcPr>
            <w:tcW w:w="56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60" w:type="dxa"/>
            <w:vAlign w:val="bottom"/>
          </w:tcPr>
          <w:p>
            <w:pPr>
              <w:spacing w:after="0"/>
              <w:rPr>
                <w:sz w:val="20"/>
                <w:szCs w:val="20"/>
                <w:color w:val="auto"/>
              </w:rPr>
            </w:pPr>
            <w:r>
              <w:rPr>
                <w:rFonts w:ascii="Arial" w:cs="Arial" w:eastAsia="Arial" w:hAnsi="Arial"/>
                <w:sz w:val="18"/>
                <w:szCs w:val="18"/>
                <w:color w:val="auto"/>
              </w:rPr>
              <w:t>Forfeited</w:t>
            </w:r>
          </w:p>
        </w:tc>
        <w:tc>
          <w:tcPr>
            <w:tcW w:w="1100" w:type="dxa"/>
            <w:vAlign w:val="bottom"/>
            <w:gridSpan w:val="2"/>
          </w:tcPr>
          <w:p>
            <w:pPr>
              <w:jc w:val="right"/>
              <w:ind w:right="280"/>
              <w:spacing w:after="0"/>
              <w:rPr>
                <w:sz w:val="20"/>
                <w:szCs w:val="20"/>
                <w:color w:val="auto"/>
              </w:rPr>
            </w:pPr>
            <w:r>
              <w:rPr>
                <w:rFonts w:ascii="Arial" w:cs="Arial" w:eastAsia="Arial" w:hAnsi="Arial"/>
                <w:sz w:val="18"/>
                <w:szCs w:val="18"/>
                <w:color w:val="auto"/>
              </w:rPr>
              <w:t>(186,004)</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1.57</w:t>
            </w:r>
          </w:p>
        </w:tc>
        <w:tc>
          <w:tcPr>
            <w:tcW w:w="5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960" w:type="dxa"/>
            <w:vAlign w:val="bottom"/>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560" w:type="dxa"/>
            <w:vAlign w:val="bottom"/>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540" w:type="dxa"/>
            <w:vAlign w:val="bottom"/>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9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Outstanding March 31, 2018</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3,766,888</w:t>
            </w:r>
          </w:p>
        </w:tc>
        <w:tc>
          <w:tcPr>
            <w:tcW w:w="320" w:type="dxa"/>
            <w:vAlign w:val="bottom"/>
            <w:shd w:val="clear" w:color="auto" w:fill="CCEEFF"/>
          </w:tcPr>
          <w:p>
            <w:pPr>
              <w:spacing w:after="0"/>
              <w:rPr>
                <w:sz w:val="18"/>
                <w:szCs w:val="18"/>
                <w:color w:val="auto"/>
              </w:rPr>
            </w:pPr>
          </w:p>
        </w:tc>
        <w:tc>
          <w:tcPr>
            <w:tcW w:w="3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1.27</w:t>
            </w:r>
          </w:p>
        </w:tc>
        <w:tc>
          <w:tcPr>
            <w:tcW w:w="14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6.55</w:t>
            </w:r>
          </w:p>
        </w:tc>
        <w:tc>
          <w:tcPr>
            <w:tcW w:w="138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5,905,425</w:t>
            </w: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98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Exercisable March 31, 2018</w:t>
            </w:r>
          </w:p>
        </w:tc>
        <w:tc>
          <w:tcPr>
            <w:tcW w:w="78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980" w:type="dxa"/>
            <w:vAlign w:val="bottom"/>
            <w:gridSpan w:val="2"/>
            <w:vMerge w:val="continue"/>
          </w:tcPr>
          <w:p>
            <w:pPr>
              <w:spacing w:after="0"/>
              <w:rPr>
                <w:sz w:val="18"/>
                <w:szCs w:val="18"/>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2"/>
              </w:rPr>
              <w:t>2,556,785</w:t>
            </w:r>
          </w:p>
        </w:tc>
        <w:tc>
          <w:tcPr>
            <w:tcW w:w="3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0.97</w:t>
            </w:r>
          </w:p>
        </w:tc>
        <w:tc>
          <w:tcPr>
            <w:tcW w:w="560" w:type="dxa"/>
            <w:vAlign w:val="bottom"/>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5.55</w:t>
            </w:r>
          </w:p>
        </w:tc>
        <w:tc>
          <w:tcPr>
            <w:tcW w:w="540" w:type="dxa"/>
            <w:vAlign w:val="bottom"/>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u w:val="single" w:color="auto"/>
                <w:color w:val="auto"/>
                <w:w w:val="88"/>
              </w:rPr>
              <w:t>$</w:t>
            </w:r>
            <w:r>
              <w:rPr>
                <w:rFonts w:ascii="Arial" w:cs="Arial" w:eastAsia="Arial" w:hAnsi="Arial"/>
                <w:sz w:val="18"/>
                <w:szCs w:val="18"/>
                <w:color w:val="auto"/>
                <w:w w:val="88"/>
              </w:rPr>
              <w:t>4,765,908</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96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49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Vested and Expected to vest March 31, 2018</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3,721,795</w:t>
            </w:r>
          </w:p>
        </w:tc>
        <w:tc>
          <w:tcPr>
            <w:tcW w:w="3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1.26</w:t>
            </w:r>
          </w:p>
        </w:tc>
        <w:tc>
          <w:tcPr>
            <w:tcW w:w="14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6.42</w:t>
            </w:r>
          </w:p>
        </w:tc>
        <w:tc>
          <w:tcPr>
            <w:tcW w:w="13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5,864,808</w:t>
            </w: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94" w:lineRule="exact"/>
        <w:rPr>
          <w:sz w:val="20"/>
          <w:szCs w:val="20"/>
          <w:color w:val="auto"/>
        </w:rPr>
      </w:pPr>
    </w:p>
    <w:p>
      <w:pPr>
        <w:ind w:left="440" w:right="300"/>
        <w:spacing w:after="0" w:line="277" w:lineRule="auto"/>
        <w:rPr>
          <w:sz w:val="20"/>
          <w:szCs w:val="20"/>
          <w:color w:val="auto"/>
        </w:rPr>
      </w:pPr>
      <w:r>
        <w:rPr>
          <w:rFonts w:ascii="Arial" w:cs="Arial" w:eastAsia="Arial" w:hAnsi="Arial"/>
          <w:sz w:val="18"/>
          <w:szCs w:val="18"/>
          <w:color w:val="auto"/>
        </w:rPr>
        <w:t>The total intrinsic value of options exercised during the year ended March 31, 2018 was $1,584,353. The fair value of shares vested during the year ended March 31, 2018 was $421,792.</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000"/>
          </w:cols>
          <w:pgMar w:left="440" w:top="270" w:right="459" w:bottom="1440" w:gutter="0" w:footer="0" w:header="0"/>
        </w:sectPr>
      </w:pPr>
    </w:p>
    <w:bookmarkStart w:id="22" w:name="page23"/>
    <w:bookmarkEnd w:id="22"/>
    <w:p>
      <w:pPr>
        <w:jc w:val="right"/>
        <w:spacing w:after="0"/>
        <w:rPr>
          <w:sz w:val="20"/>
          <w:szCs w:val="20"/>
          <w:color w:val="auto"/>
        </w:rPr>
      </w:pPr>
      <w:r>
        <w:rPr>
          <w:rFonts w:ascii="Arial" w:cs="Arial" w:eastAsia="Arial" w:hAnsi="Arial"/>
          <w:sz w:val="18"/>
          <w:szCs w:val="18"/>
          <w:b w:val="1"/>
          <w:bCs w:val="1"/>
          <w:color w:val="auto"/>
        </w:rPr>
        <w:t>Exhibit 99.2</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SiriusDecisions, Inc. and Subsidiaries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Unaudited Condensed Consolidated Financial Statements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As of December 31, 2018 and March 31, 2018 and for the Nine Months Ended December 31, 2018 and 2017</w:t>
      </w:r>
    </w:p>
    <w:p>
      <w:pPr>
        <w:sectPr>
          <w:pgSz w:w="11900" w:h="16838" w:orient="portrait"/>
          <w:cols w:equalWidth="0" w:num="1">
            <w:col w:w="11020"/>
          </w:cols>
          <w:pgMar w:left="440" w:top="121" w:right="439" w:bottom="1440" w:gutter="0" w:footer="0" w:header="0"/>
        </w:sectPr>
      </w:pPr>
    </w:p>
    <w:bookmarkStart w:id="23" w:name="page24"/>
    <w:bookmarkEnd w:id="23"/>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SiriusDecisions, Inc. and Subsidiaries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Index</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10260" w:type="dxa"/>
            <w:vAlign w:val="bottom"/>
            <w:vMerge w:val="restart"/>
          </w:tcPr>
          <w:p>
            <w:pPr>
              <w:spacing w:after="0"/>
              <w:rPr>
                <w:sz w:val="20"/>
                <w:szCs w:val="20"/>
                <w:color w:val="auto"/>
              </w:rPr>
            </w:pPr>
            <w:r>
              <w:rPr>
                <w:rFonts w:ascii="Arial" w:cs="Arial" w:eastAsia="Arial" w:hAnsi="Arial"/>
                <w:sz w:val="18"/>
                <w:szCs w:val="18"/>
                <w:b w:val="1"/>
                <w:bCs w:val="1"/>
                <w:color w:val="auto"/>
              </w:rPr>
              <w:t>Unaudited Condensed Consolidated Financial Statements</w:t>
            </w:r>
          </w:p>
        </w:tc>
        <w:tc>
          <w:tcPr>
            <w:tcW w:w="720" w:type="dxa"/>
            <w:vAlign w:val="bottom"/>
          </w:tcPr>
          <w:p>
            <w:pPr>
              <w:jc w:val="right"/>
              <w:spacing w:after="0"/>
              <w:rPr>
                <w:sz w:val="20"/>
                <w:szCs w:val="20"/>
                <w:color w:val="auto"/>
              </w:rPr>
            </w:pPr>
            <w:r>
              <w:rPr>
                <w:rFonts w:ascii="Arial" w:cs="Arial" w:eastAsia="Arial" w:hAnsi="Arial"/>
                <w:sz w:val="14"/>
                <w:szCs w:val="14"/>
                <w:b w:val="1"/>
                <w:bCs w:val="1"/>
                <w:color w:val="auto"/>
              </w:rPr>
              <w:t>Page(s)</w:t>
            </w:r>
          </w:p>
        </w:tc>
        <w:tc>
          <w:tcPr>
            <w:tcW w:w="0" w:type="dxa"/>
            <w:vAlign w:val="bottom"/>
          </w:tcPr>
          <w:p>
            <w:pPr>
              <w:spacing w:after="0"/>
              <w:rPr>
                <w:sz w:val="1"/>
                <w:szCs w:val="1"/>
                <w:color w:val="auto"/>
              </w:rPr>
            </w:pPr>
          </w:p>
        </w:tc>
      </w:tr>
      <w:tr>
        <w:trPr>
          <w:trHeight w:val="187"/>
        </w:trPr>
        <w:tc>
          <w:tcPr>
            <w:tcW w:w="10260" w:type="dxa"/>
            <w:vAlign w:val="bottom"/>
            <w:vMerge w:val="continue"/>
          </w:tcPr>
          <w:p>
            <w:pPr>
              <w:spacing w:after="0"/>
              <w:rPr>
                <w:sz w:val="16"/>
                <w:szCs w:val="16"/>
                <w:color w:val="auto"/>
              </w:rPr>
            </w:pPr>
          </w:p>
        </w:tc>
        <w:tc>
          <w:tcPr>
            <w:tcW w:w="7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10260" w:type="dxa"/>
            <w:vAlign w:val="bottom"/>
          </w:tcPr>
          <w:p>
            <w:pPr>
              <w:spacing w:after="0"/>
              <w:rPr>
                <w:sz w:val="20"/>
                <w:szCs w:val="20"/>
                <w:color w:val="auto"/>
              </w:rPr>
            </w:pPr>
            <w:r>
              <w:rPr>
                <w:rFonts w:ascii="Arial" w:cs="Arial" w:eastAsia="Arial" w:hAnsi="Arial"/>
                <w:sz w:val="18"/>
                <w:szCs w:val="18"/>
                <w:color w:val="auto"/>
              </w:rPr>
              <w:t>Unaudited Condensed Consolidated Balance Sheets as of December 31, 2018 and March 31, 2018</w:t>
            </w:r>
          </w:p>
        </w:tc>
        <w:tc>
          <w:tcPr>
            <w:tcW w:w="720" w:type="dxa"/>
            <w:vAlign w:val="bottom"/>
          </w:tcPr>
          <w:p>
            <w:pPr>
              <w:jc w:val="right"/>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16"/>
        </w:trPr>
        <w:tc>
          <w:tcPr>
            <w:tcW w:w="10260" w:type="dxa"/>
            <w:vAlign w:val="bottom"/>
          </w:tcPr>
          <w:p>
            <w:pPr>
              <w:spacing w:after="0"/>
              <w:rPr>
                <w:sz w:val="20"/>
                <w:szCs w:val="20"/>
                <w:color w:val="auto"/>
              </w:rPr>
            </w:pPr>
            <w:r>
              <w:rPr>
                <w:rFonts w:ascii="Arial" w:cs="Arial" w:eastAsia="Arial" w:hAnsi="Arial"/>
                <w:sz w:val="18"/>
                <w:szCs w:val="18"/>
                <w:color w:val="auto"/>
                <w:w w:val="92"/>
              </w:rPr>
              <w:t>Unaudited Condensed Consolidated Statements of Operations and Comprehensive Income for the Nine Months Ended December 31, 2018</w:t>
            </w:r>
          </w:p>
        </w:tc>
        <w:tc>
          <w:tcPr>
            <w:tcW w:w="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260" w:type="dxa"/>
            <w:vAlign w:val="bottom"/>
          </w:tcPr>
          <w:p>
            <w:pPr>
              <w:ind w:left="180"/>
              <w:spacing w:after="0"/>
              <w:rPr>
                <w:sz w:val="20"/>
                <w:szCs w:val="20"/>
                <w:color w:val="auto"/>
              </w:rPr>
            </w:pPr>
            <w:r>
              <w:rPr>
                <w:rFonts w:ascii="Arial" w:cs="Arial" w:eastAsia="Arial" w:hAnsi="Arial"/>
                <w:sz w:val="18"/>
                <w:szCs w:val="18"/>
                <w:color w:val="auto"/>
              </w:rPr>
              <w:t>and 2017</w:t>
            </w:r>
          </w:p>
        </w:tc>
        <w:tc>
          <w:tcPr>
            <w:tcW w:w="720" w:type="dxa"/>
            <w:vAlign w:val="bottom"/>
          </w:tcPr>
          <w:p>
            <w:pPr>
              <w:jc w:val="right"/>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16"/>
        </w:trPr>
        <w:tc>
          <w:tcPr>
            <w:tcW w:w="10260" w:type="dxa"/>
            <w:vAlign w:val="bottom"/>
          </w:tcPr>
          <w:p>
            <w:pPr>
              <w:spacing w:after="0"/>
              <w:rPr>
                <w:sz w:val="20"/>
                <w:szCs w:val="20"/>
                <w:color w:val="auto"/>
              </w:rPr>
            </w:pPr>
            <w:r>
              <w:rPr>
                <w:rFonts w:ascii="Arial" w:cs="Arial" w:eastAsia="Arial" w:hAnsi="Arial"/>
                <w:sz w:val="18"/>
                <w:szCs w:val="18"/>
                <w:color w:val="auto"/>
                <w:w w:val="96"/>
              </w:rPr>
              <w:t>Unaudited Condensed Consolidated Statements of Changes in Convertible Preferred Stock and Stockholders’ Deficiency for the Nine</w:t>
            </w:r>
          </w:p>
        </w:tc>
        <w:tc>
          <w:tcPr>
            <w:tcW w:w="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260" w:type="dxa"/>
            <w:vAlign w:val="bottom"/>
          </w:tcPr>
          <w:p>
            <w:pPr>
              <w:ind w:left="180"/>
              <w:spacing w:after="0"/>
              <w:rPr>
                <w:sz w:val="20"/>
                <w:szCs w:val="20"/>
                <w:color w:val="auto"/>
              </w:rPr>
            </w:pPr>
            <w:r>
              <w:rPr>
                <w:rFonts w:ascii="Arial" w:cs="Arial" w:eastAsia="Arial" w:hAnsi="Arial"/>
                <w:sz w:val="18"/>
                <w:szCs w:val="18"/>
                <w:color w:val="auto"/>
              </w:rPr>
              <w:t>Months Ended December 31, 2018 and 2017</w:t>
            </w:r>
          </w:p>
        </w:tc>
        <w:tc>
          <w:tcPr>
            <w:tcW w:w="720" w:type="dxa"/>
            <w:vAlign w:val="bottom"/>
          </w:tcPr>
          <w:p>
            <w:pPr>
              <w:jc w:val="right"/>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16"/>
        </w:trPr>
        <w:tc>
          <w:tcPr>
            <w:tcW w:w="10260" w:type="dxa"/>
            <w:vAlign w:val="bottom"/>
          </w:tcPr>
          <w:p>
            <w:pPr>
              <w:spacing w:after="0"/>
              <w:rPr>
                <w:sz w:val="20"/>
                <w:szCs w:val="20"/>
                <w:color w:val="auto"/>
              </w:rPr>
            </w:pPr>
            <w:r>
              <w:rPr>
                <w:rFonts w:ascii="Arial" w:cs="Arial" w:eastAsia="Arial" w:hAnsi="Arial"/>
                <w:sz w:val="18"/>
                <w:szCs w:val="18"/>
                <w:color w:val="auto"/>
              </w:rPr>
              <w:t>Unaudited Condensed Consolidated Statements of Cash Flows for the Nine Months Ended December 31, 2018 and 2017</w:t>
            </w:r>
          </w:p>
        </w:tc>
        <w:tc>
          <w:tcPr>
            <w:tcW w:w="720" w:type="dxa"/>
            <w:vAlign w:val="bottom"/>
          </w:tcPr>
          <w:p>
            <w:pPr>
              <w:jc w:val="right"/>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30"/>
        </w:trPr>
        <w:tc>
          <w:tcPr>
            <w:tcW w:w="10260" w:type="dxa"/>
            <w:vAlign w:val="bottom"/>
          </w:tcPr>
          <w:p>
            <w:pPr>
              <w:spacing w:after="0"/>
              <w:rPr>
                <w:sz w:val="20"/>
                <w:szCs w:val="20"/>
                <w:color w:val="auto"/>
              </w:rPr>
            </w:pPr>
            <w:r>
              <w:rPr>
                <w:rFonts w:ascii="Arial" w:cs="Arial" w:eastAsia="Arial" w:hAnsi="Arial"/>
                <w:sz w:val="18"/>
                <w:szCs w:val="18"/>
                <w:color w:val="auto"/>
              </w:rPr>
              <w:t>Notes to Condensed Consolidated Financial Statements</w:t>
            </w:r>
          </w:p>
        </w:tc>
        <w:tc>
          <w:tcPr>
            <w:tcW w:w="720" w:type="dxa"/>
            <w:vAlign w:val="bottom"/>
          </w:tcPr>
          <w:p>
            <w:pPr>
              <w:jc w:val="right"/>
              <w:spacing w:after="0"/>
              <w:rPr>
                <w:sz w:val="20"/>
                <w:szCs w:val="20"/>
                <w:color w:val="auto"/>
              </w:rPr>
            </w:pPr>
            <w:r>
              <w:rPr>
                <w:rFonts w:ascii="Arial" w:cs="Arial" w:eastAsia="Arial" w:hAnsi="Arial"/>
                <w:sz w:val="18"/>
                <w:szCs w:val="18"/>
                <w:color w:val="auto"/>
              </w:rPr>
              <w:t>7–12</w:t>
            </w:r>
          </w:p>
        </w:tc>
        <w:tc>
          <w:tcPr>
            <w:tcW w:w="0" w:type="dxa"/>
            <w:vAlign w:val="bottom"/>
          </w:tcPr>
          <w:p>
            <w:pPr>
              <w:spacing w:after="0"/>
              <w:rPr>
                <w:sz w:val="1"/>
                <w:szCs w:val="1"/>
                <w:color w:val="auto"/>
              </w:rPr>
            </w:pPr>
          </w:p>
        </w:tc>
      </w:tr>
    </w:tbl>
    <w:p>
      <w:pPr>
        <w:sectPr>
          <w:pgSz w:w="11900" w:h="16838" w:orient="portrait"/>
          <w:cols w:equalWidth="0" w:num="1">
            <w:col w:w="10980"/>
          </w:cols>
          <w:pgMar w:left="440" w:top="270" w:right="479" w:bottom="1440" w:gutter="0" w:footer="0" w:header="0"/>
        </w:sectPr>
      </w:pPr>
    </w:p>
    <w:bookmarkStart w:id="24" w:name="page25"/>
    <w:bookmarkEnd w:id="24"/>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SiriusDecisions, Inc. and Subsidiaries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Unaudited Condensed Consolidated Balance Sheets as of</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December 31, 2018 and March 31, 2018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40005</wp:posOffset>
            </wp:positionV>
            <wp:extent cx="6997700" cy="889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6997700" cy="8890"/>
                    </a:xfrm>
                    <a:prstGeom prst="rect">
                      <a:avLst/>
                    </a:prstGeom>
                    <a:noFill/>
                  </pic:spPr>
                </pic:pic>
              </a:graphicData>
            </a:graphic>
          </wp:anchor>
        </w:drawing>
      </w:r>
    </w:p>
    <w:p>
      <w:pPr>
        <w:spacing w:after="0" w:line="30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86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160" w:type="dxa"/>
            <w:vAlign w:val="bottom"/>
            <w:gridSpan w:val="3"/>
          </w:tcPr>
          <w:p>
            <w:pPr>
              <w:jc w:val="right"/>
              <w:ind w:right="260"/>
              <w:spacing w:after="0"/>
              <w:rPr>
                <w:sz w:val="20"/>
                <w:szCs w:val="20"/>
                <w:color w:val="auto"/>
              </w:rPr>
            </w:pPr>
            <w:r>
              <w:rPr>
                <w:rFonts w:ascii="Arial" w:cs="Arial" w:eastAsia="Arial" w:hAnsi="Arial"/>
                <w:sz w:val="14"/>
                <w:szCs w:val="14"/>
                <w:b w:val="1"/>
                <w:bCs w:val="1"/>
                <w:color w:val="auto"/>
                <w:w w:val="96"/>
              </w:rPr>
              <w:t>December 31,</w:t>
            </w:r>
          </w:p>
        </w:tc>
        <w:tc>
          <w:tcPr>
            <w:tcW w:w="140" w:type="dxa"/>
            <w:vAlign w:val="bottom"/>
          </w:tcPr>
          <w:p>
            <w:pPr>
              <w:spacing w:after="0"/>
              <w:rPr>
                <w:sz w:val="14"/>
                <w:szCs w:val="14"/>
                <w:color w:val="auto"/>
              </w:rPr>
            </w:pPr>
          </w:p>
        </w:tc>
        <w:tc>
          <w:tcPr>
            <w:tcW w:w="1080" w:type="dxa"/>
            <w:vAlign w:val="bottom"/>
            <w:gridSpan w:val="2"/>
          </w:tcPr>
          <w:p>
            <w:pPr>
              <w:jc w:val="right"/>
              <w:ind w:right="320"/>
              <w:spacing w:after="0"/>
              <w:rPr>
                <w:sz w:val="20"/>
                <w:szCs w:val="20"/>
                <w:color w:val="auto"/>
              </w:rPr>
            </w:pPr>
            <w:r>
              <w:rPr>
                <w:rFonts w:ascii="Arial" w:cs="Arial" w:eastAsia="Arial" w:hAnsi="Arial"/>
                <w:sz w:val="14"/>
                <w:szCs w:val="14"/>
                <w:b w:val="1"/>
                <w:bCs w:val="1"/>
                <w:color w:val="auto"/>
              </w:rPr>
              <w:t>March 31</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86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80" w:type="dxa"/>
            <w:vAlign w:val="bottom"/>
          </w:tcPr>
          <w:p>
            <w:pPr>
              <w:jc w:val="right"/>
              <w:ind w:right="251"/>
              <w:spacing w:after="0"/>
              <w:rPr>
                <w:sz w:val="20"/>
                <w:szCs w:val="20"/>
                <w:color w:val="auto"/>
              </w:rPr>
            </w:pPr>
            <w:r>
              <w:rPr>
                <w:rFonts w:ascii="Arial" w:cs="Arial" w:eastAsia="Arial" w:hAnsi="Arial"/>
                <w:sz w:val="14"/>
                <w:szCs w:val="14"/>
                <w:b w:val="1"/>
                <w:bCs w:val="1"/>
                <w:color w:val="auto"/>
              </w:rPr>
              <w:t>2018</w:t>
            </w:r>
          </w:p>
        </w:tc>
        <w:tc>
          <w:tcPr>
            <w:tcW w:w="200" w:type="dxa"/>
            <w:vAlign w:val="bottom"/>
          </w:tcPr>
          <w:p>
            <w:pPr>
              <w:spacing w:after="0"/>
              <w:rPr>
                <w:sz w:val="14"/>
                <w:szCs w:val="14"/>
                <w:color w:val="auto"/>
              </w:rPr>
            </w:pPr>
          </w:p>
        </w:tc>
        <w:tc>
          <w:tcPr>
            <w:tcW w:w="1100" w:type="dxa"/>
            <w:vAlign w:val="bottom"/>
            <w:gridSpan w:val="2"/>
          </w:tcPr>
          <w:p>
            <w:pPr>
              <w:jc w:val="right"/>
              <w:ind w:right="252"/>
              <w:spacing w:after="0"/>
              <w:rPr>
                <w:sz w:val="20"/>
                <w:szCs w:val="20"/>
                <w:color w:val="auto"/>
              </w:rPr>
            </w:pPr>
            <w:r>
              <w:rPr>
                <w:rFonts w:ascii="Arial" w:cs="Arial" w:eastAsia="Arial" w:hAnsi="Arial"/>
                <w:sz w:val="14"/>
                <w:szCs w:val="14"/>
                <w:b w:val="1"/>
                <w:bCs w:val="1"/>
                <w:color w:val="auto"/>
              </w:rPr>
              <w:t>2018</w:t>
            </w: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862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Assets</w:t>
            </w:r>
          </w:p>
        </w:tc>
        <w:tc>
          <w:tcPr>
            <w:tcW w:w="2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17"/>
                <w:szCs w:val="17"/>
                <w:color w:val="auto"/>
              </w:rPr>
            </w:pPr>
          </w:p>
        </w:tc>
        <w:tc>
          <w:tcPr>
            <w:tcW w:w="880" w:type="dxa"/>
            <w:vAlign w:val="bottom"/>
            <w:tcBorders>
              <w:top w:val="single" w:sz="8" w:color="auto"/>
            </w:tcBorders>
            <w:shd w:val="clear" w:color="auto" w:fill="CCEEFF"/>
          </w:tcPr>
          <w:p>
            <w:pPr>
              <w:spacing w:after="0"/>
              <w:rPr>
                <w:sz w:val="17"/>
                <w:szCs w:val="17"/>
                <w:color w:val="auto"/>
              </w:rPr>
            </w:pPr>
          </w:p>
        </w:tc>
        <w:tc>
          <w:tcPr>
            <w:tcW w:w="20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96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20" w:type="dxa"/>
            <w:vAlign w:val="bottom"/>
          </w:tcPr>
          <w:p>
            <w:pPr>
              <w:spacing w:after="0"/>
              <w:rPr>
                <w:sz w:val="20"/>
                <w:szCs w:val="20"/>
                <w:color w:val="auto"/>
              </w:rPr>
            </w:pPr>
            <w:r>
              <w:rPr>
                <w:rFonts w:ascii="Arial" w:cs="Arial" w:eastAsia="Arial" w:hAnsi="Arial"/>
                <w:sz w:val="18"/>
                <w:szCs w:val="18"/>
                <w:color w:val="auto"/>
              </w:rPr>
              <w:t>Current Assets:</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Cash and cash equivalents</w:t>
            </w:r>
          </w:p>
        </w:tc>
        <w:tc>
          <w:tcPr>
            <w:tcW w:w="1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7,205,469</w:t>
            </w:r>
          </w:p>
        </w:tc>
        <w:tc>
          <w:tcPr>
            <w:tcW w:w="2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$ 13,084,181</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8620" w:type="dxa"/>
            <w:vAlign w:val="bottom"/>
          </w:tcPr>
          <w:p>
            <w:pPr>
              <w:ind w:left="340"/>
              <w:spacing w:after="0" w:line="201" w:lineRule="exact"/>
              <w:rPr>
                <w:sz w:val="20"/>
                <w:szCs w:val="20"/>
                <w:color w:val="auto"/>
              </w:rPr>
            </w:pPr>
            <w:r>
              <w:rPr>
                <w:rFonts w:ascii="Arial" w:cs="Arial" w:eastAsia="Arial" w:hAnsi="Arial"/>
                <w:sz w:val="18"/>
                <w:szCs w:val="18"/>
                <w:color w:val="auto"/>
                <w:w w:val="94"/>
              </w:rPr>
              <w:t>Accounts receivable, net of allowance for doubtful accounts of $253,569 and $150,114 at December 31, 2018</w:t>
            </w: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8620" w:type="dxa"/>
            <w:vAlign w:val="bottom"/>
          </w:tcPr>
          <w:p>
            <w:pPr>
              <w:ind w:left="520"/>
              <w:spacing w:after="0"/>
              <w:rPr>
                <w:sz w:val="20"/>
                <w:szCs w:val="20"/>
                <w:color w:val="auto"/>
              </w:rPr>
            </w:pPr>
            <w:r>
              <w:rPr>
                <w:rFonts w:ascii="Arial" w:cs="Arial" w:eastAsia="Arial" w:hAnsi="Arial"/>
                <w:sz w:val="18"/>
                <w:szCs w:val="18"/>
                <w:color w:val="auto"/>
              </w:rPr>
              <w:t>and March 31, 2018, respectively</w:t>
            </w: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w w:val="95"/>
              </w:rPr>
              <w:t>13,036,497</w:t>
            </w:r>
          </w:p>
        </w:tc>
        <w:tc>
          <w:tcPr>
            <w:tcW w:w="200" w:type="dxa"/>
            <w:vAlign w:val="bottom"/>
          </w:tcPr>
          <w:p>
            <w:pPr>
              <w:spacing w:after="0"/>
              <w:rPr>
                <w:sz w:val="20"/>
                <w:szCs w:val="20"/>
                <w:color w:val="auto"/>
              </w:rPr>
            </w:pPr>
          </w:p>
        </w:tc>
        <w:tc>
          <w:tcPr>
            <w:tcW w:w="1100" w:type="dxa"/>
            <w:vAlign w:val="bottom"/>
            <w:gridSpan w:val="2"/>
          </w:tcPr>
          <w:p>
            <w:pPr>
              <w:jc w:val="right"/>
              <w:spacing w:after="0"/>
              <w:rPr>
                <w:sz w:val="20"/>
                <w:szCs w:val="20"/>
                <w:color w:val="auto"/>
              </w:rPr>
            </w:pPr>
            <w:r>
              <w:rPr>
                <w:rFonts w:ascii="Arial" w:cs="Arial" w:eastAsia="Arial" w:hAnsi="Arial"/>
                <w:sz w:val="18"/>
                <w:szCs w:val="18"/>
                <w:color w:val="auto"/>
              </w:rPr>
              <w:t>12,157,601</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Prepaid expenses and other</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2,693,074</w:t>
            </w:r>
          </w:p>
        </w:tc>
        <w:tc>
          <w:tcPr>
            <w:tcW w:w="2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2,109,057</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620" w:type="dxa"/>
            <w:vAlign w:val="bottom"/>
          </w:tcPr>
          <w:p>
            <w:pPr>
              <w:ind w:left="700"/>
              <w:spacing w:after="0"/>
              <w:rPr>
                <w:sz w:val="20"/>
                <w:szCs w:val="20"/>
                <w:color w:val="auto"/>
              </w:rPr>
            </w:pPr>
            <w:r>
              <w:rPr>
                <w:rFonts w:ascii="Arial" w:cs="Arial" w:eastAsia="Arial" w:hAnsi="Arial"/>
                <w:sz w:val="18"/>
                <w:szCs w:val="18"/>
                <w:color w:val="auto"/>
              </w:rPr>
              <w:t>Total current assets</w:t>
            </w:r>
          </w:p>
        </w:tc>
        <w:tc>
          <w:tcPr>
            <w:tcW w:w="2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8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5"/>
              </w:rPr>
              <w:t>22,935,040</w:t>
            </w: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27,350,839</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20" w:type="dxa"/>
            <w:vAlign w:val="bottom"/>
            <w:shd w:val="clear" w:color="auto" w:fill="CCEEFF"/>
          </w:tcPr>
          <w:p>
            <w:pPr>
              <w:spacing w:after="0"/>
              <w:rPr>
                <w:sz w:val="20"/>
                <w:szCs w:val="20"/>
                <w:color w:val="auto"/>
              </w:rPr>
            </w:pPr>
            <w:r>
              <w:rPr>
                <w:rFonts w:ascii="Arial" w:cs="Arial" w:eastAsia="Arial" w:hAnsi="Arial"/>
                <w:sz w:val="18"/>
                <w:szCs w:val="18"/>
                <w:color w:val="auto"/>
              </w:rPr>
              <w:t>Property and equipment, net</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4,080,301</w:t>
            </w:r>
          </w:p>
        </w:tc>
        <w:tc>
          <w:tcPr>
            <w:tcW w:w="2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3,230,986</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620" w:type="dxa"/>
            <w:vAlign w:val="bottom"/>
          </w:tcPr>
          <w:p>
            <w:pPr>
              <w:spacing w:after="0"/>
              <w:rPr>
                <w:sz w:val="20"/>
                <w:szCs w:val="20"/>
                <w:color w:val="auto"/>
              </w:rPr>
            </w:pPr>
            <w:r>
              <w:rPr>
                <w:rFonts w:ascii="Arial" w:cs="Arial" w:eastAsia="Arial" w:hAnsi="Arial"/>
                <w:sz w:val="18"/>
                <w:szCs w:val="18"/>
                <w:color w:val="auto"/>
              </w:rPr>
              <w:t>Other assets</w:t>
            </w:r>
          </w:p>
        </w:tc>
        <w:tc>
          <w:tcPr>
            <w:tcW w:w="2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584,177</w:t>
            </w: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583,466</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20" w:type="dxa"/>
            <w:vAlign w:val="bottom"/>
            <w:shd w:val="clear" w:color="auto" w:fill="CCEEFF"/>
          </w:tcPr>
          <w:p>
            <w:pPr>
              <w:ind w:left="1060"/>
              <w:spacing w:after="0"/>
              <w:rPr>
                <w:sz w:val="20"/>
                <w:szCs w:val="20"/>
                <w:color w:val="auto"/>
              </w:rPr>
            </w:pPr>
            <w:r>
              <w:rPr>
                <w:rFonts w:ascii="Arial" w:cs="Arial" w:eastAsia="Arial" w:hAnsi="Arial"/>
                <w:sz w:val="18"/>
                <w:szCs w:val="18"/>
                <w:color w:val="auto"/>
              </w:rPr>
              <w:t>Total assets</w:t>
            </w:r>
          </w:p>
        </w:tc>
        <w:tc>
          <w:tcPr>
            <w:tcW w:w="1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27,599,518</w:t>
            </w:r>
          </w:p>
        </w:tc>
        <w:tc>
          <w:tcPr>
            <w:tcW w:w="2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$ 31,165,291</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864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Liabilities, Convertible Preferrred Stock and Stockholders’ Deficiency</w:t>
            </w:r>
          </w:p>
        </w:tc>
        <w:tc>
          <w:tcPr>
            <w:tcW w:w="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8640" w:type="dxa"/>
            <w:vAlign w:val="bottom"/>
            <w:gridSpan w:val="2"/>
            <w:vMerge w:val="continue"/>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20" w:type="dxa"/>
            <w:vAlign w:val="bottom"/>
            <w:shd w:val="clear" w:color="auto" w:fill="CCEEFF"/>
          </w:tcPr>
          <w:p>
            <w:pPr>
              <w:spacing w:after="0"/>
              <w:rPr>
                <w:sz w:val="20"/>
                <w:szCs w:val="20"/>
                <w:color w:val="auto"/>
              </w:rPr>
            </w:pPr>
            <w:r>
              <w:rPr>
                <w:rFonts w:ascii="Arial" w:cs="Arial" w:eastAsia="Arial" w:hAnsi="Arial"/>
                <w:sz w:val="18"/>
                <w:szCs w:val="18"/>
                <w:color w:val="auto"/>
              </w:rPr>
              <w:t>Current liabilities:</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20" w:type="dxa"/>
            <w:vAlign w:val="bottom"/>
          </w:tcPr>
          <w:p>
            <w:pPr>
              <w:ind w:left="340"/>
              <w:spacing w:after="0"/>
              <w:rPr>
                <w:sz w:val="20"/>
                <w:szCs w:val="20"/>
                <w:color w:val="auto"/>
              </w:rPr>
            </w:pPr>
            <w:r>
              <w:rPr>
                <w:rFonts w:ascii="Arial" w:cs="Arial" w:eastAsia="Arial" w:hAnsi="Arial"/>
                <w:sz w:val="18"/>
                <w:szCs w:val="18"/>
                <w:color w:val="auto"/>
              </w:rPr>
              <w:t>Accounts payable and accrued expenses</w:t>
            </w:r>
          </w:p>
        </w:tc>
        <w:tc>
          <w:tcPr>
            <w:tcW w:w="100" w:type="dxa"/>
            <w:vAlign w:val="bottom"/>
            <w:gridSpan w:val="2"/>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9,025,212</w:t>
            </w:r>
          </w:p>
        </w:tc>
        <w:tc>
          <w:tcPr>
            <w:tcW w:w="200" w:type="dxa"/>
            <w:vAlign w:val="bottom"/>
          </w:tcPr>
          <w:p>
            <w:pPr>
              <w:spacing w:after="0"/>
              <w:rPr>
                <w:sz w:val="18"/>
                <w:szCs w:val="18"/>
                <w:color w:val="auto"/>
              </w:rPr>
            </w:pPr>
          </w:p>
        </w:tc>
        <w:tc>
          <w:tcPr>
            <w:tcW w:w="1100" w:type="dxa"/>
            <w:vAlign w:val="bottom"/>
            <w:gridSpan w:val="2"/>
          </w:tcPr>
          <w:p>
            <w:pPr>
              <w:jc w:val="right"/>
              <w:spacing w:after="0"/>
              <w:rPr>
                <w:sz w:val="20"/>
                <w:szCs w:val="20"/>
                <w:color w:val="auto"/>
              </w:rPr>
            </w:pPr>
            <w:r>
              <w:rPr>
                <w:rFonts w:ascii="Arial" w:cs="Arial" w:eastAsia="Arial" w:hAnsi="Arial"/>
                <w:sz w:val="18"/>
                <w:szCs w:val="18"/>
                <w:color w:val="auto"/>
              </w:rPr>
              <w:t>$ 10,061,901</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Deferred revenue</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29,488,664</w:t>
            </w:r>
          </w:p>
        </w:tc>
        <w:tc>
          <w:tcPr>
            <w:tcW w:w="2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37,046,504</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620" w:type="dxa"/>
            <w:vAlign w:val="bottom"/>
          </w:tcPr>
          <w:p>
            <w:pPr>
              <w:ind w:left="700"/>
              <w:spacing w:after="0"/>
              <w:rPr>
                <w:sz w:val="20"/>
                <w:szCs w:val="20"/>
                <w:color w:val="auto"/>
              </w:rPr>
            </w:pPr>
            <w:r>
              <w:rPr>
                <w:rFonts w:ascii="Arial" w:cs="Arial" w:eastAsia="Arial" w:hAnsi="Arial"/>
                <w:sz w:val="18"/>
                <w:szCs w:val="18"/>
                <w:color w:val="auto"/>
              </w:rPr>
              <w:t>Total current liabilities</w:t>
            </w:r>
          </w:p>
        </w:tc>
        <w:tc>
          <w:tcPr>
            <w:tcW w:w="2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8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5"/>
              </w:rPr>
              <w:t>38,513,876</w:t>
            </w: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47,108,405</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20" w:type="dxa"/>
            <w:vAlign w:val="bottom"/>
            <w:shd w:val="clear" w:color="auto" w:fill="CCEEFF"/>
          </w:tcPr>
          <w:p>
            <w:pPr>
              <w:spacing w:after="0"/>
              <w:rPr>
                <w:sz w:val="20"/>
                <w:szCs w:val="20"/>
                <w:color w:val="auto"/>
              </w:rPr>
            </w:pPr>
            <w:r>
              <w:rPr>
                <w:rFonts w:ascii="Arial" w:cs="Arial" w:eastAsia="Arial" w:hAnsi="Arial"/>
                <w:sz w:val="18"/>
                <w:szCs w:val="18"/>
                <w:color w:val="auto"/>
              </w:rPr>
              <w:t>Deferred revenue - noncurrent</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1,037,046</w:t>
            </w:r>
          </w:p>
        </w:tc>
        <w:tc>
          <w:tcPr>
            <w:tcW w:w="2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757,048</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620" w:type="dxa"/>
            <w:vAlign w:val="bottom"/>
          </w:tcPr>
          <w:p>
            <w:pPr>
              <w:spacing w:after="0"/>
              <w:rPr>
                <w:sz w:val="20"/>
                <w:szCs w:val="20"/>
                <w:color w:val="auto"/>
              </w:rPr>
            </w:pPr>
            <w:r>
              <w:rPr>
                <w:rFonts w:ascii="Arial" w:cs="Arial" w:eastAsia="Arial" w:hAnsi="Arial"/>
                <w:sz w:val="18"/>
                <w:szCs w:val="18"/>
                <w:color w:val="auto"/>
              </w:rPr>
              <w:t>Deferred rent and other noncurrent liabilities</w:t>
            </w:r>
          </w:p>
        </w:tc>
        <w:tc>
          <w:tcPr>
            <w:tcW w:w="2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1,598,114</w:t>
            </w: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572,176</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20" w:type="dxa"/>
            <w:vAlign w:val="bottom"/>
            <w:shd w:val="clear" w:color="auto" w:fill="CCEEFF"/>
          </w:tcPr>
          <w:p>
            <w:pPr>
              <w:ind w:left="700"/>
              <w:spacing w:after="0"/>
              <w:rPr>
                <w:sz w:val="20"/>
                <w:szCs w:val="20"/>
                <w:color w:val="auto"/>
              </w:rPr>
            </w:pPr>
            <w:r>
              <w:rPr>
                <w:rFonts w:ascii="Arial" w:cs="Arial" w:eastAsia="Arial" w:hAnsi="Arial"/>
                <w:sz w:val="18"/>
                <w:szCs w:val="18"/>
                <w:color w:val="auto"/>
              </w:rPr>
              <w:t>Total liabilities</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41,149,036</w:t>
            </w:r>
          </w:p>
        </w:tc>
        <w:tc>
          <w:tcPr>
            <w:tcW w:w="2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48,437,629</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8640" w:type="dxa"/>
            <w:vAlign w:val="bottom"/>
            <w:gridSpan w:val="2"/>
          </w:tcPr>
          <w:p>
            <w:pPr>
              <w:spacing w:after="0"/>
              <w:rPr>
                <w:sz w:val="20"/>
                <w:szCs w:val="20"/>
                <w:color w:val="auto"/>
              </w:rPr>
            </w:pPr>
            <w:r>
              <w:rPr>
                <w:rFonts w:ascii="Arial" w:cs="Arial" w:eastAsia="Arial" w:hAnsi="Arial"/>
                <w:sz w:val="18"/>
                <w:szCs w:val="18"/>
                <w:color w:val="auto"/>
              </w:rPr>
              <w:t>Convertible Preferred Stock</w:t>
            </w:r>
          </w:p>
        </w:tc>
        <w:tc>
          <w:tcPr>
            <w:tcW w:w="2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880" w:type="dxa"/>
            <w:vAlign w:val="bottom"/>
            <w:tcBorders>
              <w:top w:val="single" w:sz="8" w:color="auto"/>
            </w:tcBorders>
          </w:tcPr>
          <w:p>
            <w:pPr>
              <w:spacing w:after="0"/>
              <w:rPr>
                <w:sz w:val="19"/>
                <w:szCs w:val="19"/>
                <w:color w:val="auto"/>
              </w:rPr>
            </w:pP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6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8620" w:type="dxa"/>
            <w:vAlign w:val="bottom"/>
            <w:shd w:val="clear" w:color="auto" w:fill="CCEEFF"/>
          </w:tcPr>
          <w:p>
            <w:pPr>
              <w:ind w:left="340"/>
              <w:spacing w:after="0" w:line="201" w:lineRule="exact"/>
              <w:rPr>
                <w:sz w:val="20"/>
                <w:szCs w:val="20"/>
                <w:color w:val="auto"/>
              </w:rPr>
            </w:pPr>
            <w:r>
              <w:rPr>
                <w:rFonts w:ascii="Arial" w:cs="Arial" w:eastAsia="Arial" w:hAnsi="Arial"/>
                <w:sz w:val="18"/>
                <w:szCs w:val="18"/>
                <w:color w:val="auto"/>
                <w:w w:val="94"/>
              </w:rPr>
              <w:t>Series A convertible redeemable preferred stock; $0.001 par value, 16,912,500 shares authorized, issued and</w:t>
            </w: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8620" w:type="dxa"/>
            <w:vAlign w:val="bottom"/>
            <w:shd w:val="clear" w:color="auto" w:fill="CCEEFF"/>
          </w:tcPr>
          <w:p>
            <w:pPr>
              <w:ind w:left="520"/>
              <w:spacing w:after="0"/>
              <w:rPr>
                <w:sz w:val="20"/>
                <w:szCs w:val="20"/>
                <w:color w:val="auto"/>
              </w:rPr>
            </w:pPr>
            <w:r>
              <w:rPr>
                <w:rFonts w:ascii="Arial" w:cs="Arial" w:eastAsia="Arial" w:hAnsi="Arial"/>
                <w:sz w:val="18"/>
                <w:szCs w:val="18"/>
                <w:color w:val="auto"/>
              </w:rPr>
              <w:t>outstanding at December 31, 2018 and March 31, 2018</w:t>
            </w:r>
          </w:p>
        </w:tc>
        <w:tc>
          <w:tcPr>
            <w:tcW w:w="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81,631,569</w:t>
            </w:r>
          </w:p>
        </w:tc>
        <w:tc>
          <w:tcPr>
            <w:tcW w:w="200" w:type="dxa"/>
            <w:vAlign w:val="bottom"/>
            <w:shd w:val="clear" w:color="auto" w:fill="CCEEFF"/>
          </w:tcPr>
          <w:p>
            <w:pPr>
              <w:spacing w:after="0"/>
              <w:rPr>
                <w:sz w:val="20"/>
                <w:szCs w:val="20"/>
                <w:color w:val="auto"/>
              </w:rPr>
            </w:pPr>
          </w:p>
        </w:tc>
        <w:tc>
          <w:tcPr>
            <w:tcW w:w="11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55,998,368</w:t>
            </w:r>
          </w:p>
        </w:tc>
        <w:tc>
          <w:tcPr>
            <w:tcW w:w="12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8640" w:type="dxa"/>
            <w:vAlign w:val="bottom"/>
            <w:gridSpan w:val="2"/>
          </w:tcPr>
          <w:p>
            <w:pPr>
              <w:spacing w:after="0"/>
              <w:rPr>
                <w:sz w:val="20"/>
                <w:szCs w:val="20"/>
                <w:color w:val="auto"/>
              </w:rPr>
            </w:pPr>
            <w:r>
              <w:rPr>
                <w:rFonts w:ascii="Arial" w:cs="Arial" w:eastAsia="Arial" w:hAnsi="Arial"/>
                <w:sz w:val="18"/>
                <w:szCs w:val="18"/>
                <w:color w:val="auto"/>
              </w:rPr>
              <w:t>Stockholders’ Deficiency</w:t>
            </w:r>
          </w:p>
        </w:tc>
        <w:tc>
          <w:tcPr>
            <w:tcW w:w="2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880" w:type="dxa"/>
            <w:vAlign w:val="bottom"/>
            <w:tcBorders>
              <w:top w:val="single" w:sz="8" w:color="auto"/>
            </w:tcBorders>
          </w:tcPr>
          <w:p>
            <w:pPr>
              <w:spacing w:after="0"/>
              <w:rPr>
                <w:sz w:val="19"/>
                <w:szCs w:val="19"/>
                <w:color w:val="auto"/>
              </w:rPr>
            </w:pP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6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8620" w:type="dxa"/>
            <w:vAlign w:val="bottom"/>
            <w:shd w:val="clear" w:color="auto" w:fill="CCEEFF"/>
          </w:tcPr>
          <w:p>
            <w:pPr>
              <w:ind w:left="340"/>
              <w:spacing w:after="0" w:line="201" w:lineRule="exact"/>
              <w:rPr>
                <w:sz w:val="20"/>
                <w:szCs w:val="20"/>
                <w:color w:val="auto"/>
              </w:rPr>
            </w:pPr>
            <w:r>
              <w:rPr>
                <w:rFonts w:ascii="Arial" w:cs="Arial" w:eastAsia="Arial" w:hAnsi="Arial"/>
                <w:sz w:val="18"/>
                <w:szCs w:val="18"/>
                <w:color w:val="auto"/>
              </w:rPr>
              <w:t>Common stock; $0.001 par value, 52,450,000 and 51,250,000 shares authorized and 30,537,908 and</w:t>
            </w: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8620" w:type="dxa"/>
            <w:vAlign w:val="bottom"/>
            <w:shd w:val="clear" w:color="auto" w:fill="CCEEFF"/>
          </w:tcPr>
          <w:p>
            <w:pPr>
              <w:ind w:left="520"/>
              <w:spacing w:after="0"/>
              <w:rPr>
                <w:sz w:val="20"/>
                <w:szCs w:val="20"/>
                <w:color w:val="auto"/>
              </w:rPr>
            </w:pPr>
            <w:r>
              <w:rPr>
                <w:rFonts w:ascii="Arial" w:cs="Arial" w:eastAsia="Arial" w:hAnsi="Arial"/>
                <w:sz w:val="18"/>
                <w:szCs w:val="18"/>
                <w:color w:val="auto"/>
              </w:rPr>
              <w:t>30,352,784 shares issued and outstanding at December 31, 2018 and March 31, 2018, respectively</w:t>
            </w:r>
          </w:p>
        </w:tc>
        <w:tc>
          <w:tcPr>
            <w:tcW w:w="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30,538</w:t>
            </w:r>
          </w:p>
        </w:tc>
        <w:tc>
          <w:tcPr>
            <w:tcW w:w="200" w:type="dxa"/>
            <w:vAlign w:val="bottom"/>
            <w:shd w:val="clear" w:color="auto" w:fill="CCEEFF"/>
          </w:tcPr>
          <w:p>
            <w:pPr>
              <w:spacing w:after="0"/>
              <w:rPr>
                <w:sz w:val="20"/>
                <w:szCs w:val="20"/>
                <w:color w:val="auto"/>
              </w:rPr>
            </w:pPr>
          </w:p>
        </w:tc>
        <w:tc>
          <w:tcPr>
            <w:tcW w:w="11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30,352</w:t>
            </w:r>
          </w:p>
        </w:tc>
        <w:tc>
          <w:tcPr>
            <w:tcW w:w="12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20" w:type="dxa"/>
            <w:vAlign w:val="bottom"/>
          </w:tcPr>
          <w:p>
            <w:pPr>
              <w:ind w:left="340"/>
              <w:spacing w:after="0"/>
              <w:rPr>
                <w:sz w:val="20"/>
                <w:szCs w:val="20"/>
                <w:color w:val="auto"/>
              </w:rPr>
            </w:pPr>
            <w:r>
              <w:rPr>
                <w:rFonts w:ascii="Arial" w:cs="Arial" w:eastAsia="Arial" w:hAnsi="Arial"/>
                <w:sz w:val="18"/>
                <w:szCs w:val="18"/>
                <w:color w:val="auto"/>
              </w:rPr>
              <w:t>Additional paid-in capital</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8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Accumulated deficit</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w w:val="90"/>
              </w:rPr>
              <w:t>(95,323,152)</w:t>
            </w:r>
          </w:p>
        </w:tc>
        <w:tc>
          <w:tcPr>
            <w:tcW w:w="122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(73,180,502)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20" w:type="dxa"/>
            <w:vAlign w:val="bottom"/>
          </w:tcPr>
          <w:p>
            <w:pPr>
              <w:ind w:left="340"/>
              <w:spacing w:after="0"/>
              <w:rPr>
                <w:sz w:val="20"/>
                <w:szCs w:val="20"/>
                <w:color w:val="auto"/>
              </w:rPr>
            </w:pPr>
            <w:r>
              <w:rPr>
                <w:rFonts w:ascii="Arial" w:cs="Arial" w:eastAsia="Arial" w:hAnsi="Arial"/>
                <w:sz w:val="18"/>
                <w:szCs w:val="18"/>
                <w:color w:val="auto"/>
              </w:rPr>
              <w:t>Accumulated other comprehensive income (loss)</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111,527</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gridSpan w:val="2"/>
          </w:tcPr>
          <w:p>
            <w:pPr>
              <w:jc w:val="right"/>
              <w:ind w:right="60"/>
              <w:spacing w:after="0"/>
              <w:rPr>
                <w:sz w:val="20"/>
                <w:szCs w:val="20"/>
                <w:color w:val="auto"/>
              </w:rPr>
            </w:pPr>
            <w:r>
              <w:rPr>
                <w:rFonts w:ascii="Arial" w:cs="Arial" w:eastAsia="Arial" w:hAnsi="Arial"/>
                <w:sz w:val="18"/>
                <w:szCs w:val="18"/>
                <w:color w:val="auto"/>
              </w:rPr>
              <w:t>(120,556)</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862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40" w:type="dxa"/>
            <w:vAlign w:val="bottom"/>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8620" w:type="dxa"/>
            <w:vAlign w:val="bottom"/>
            <w:shd w:val="clear" w:color="auto" w:fill="CCEEFF"/>
          </w:tcPr>
          <w:p>
            <w:pPr>
              <w:ind w:left="700"/>
              <w:spacing w:after="0"/>
              <w:rPr>
                <w:sz w:val="20"/>
                <w:szCs w:val="20"/>
                <w:color w:val="auto"/>
              </w:rPr>
            </w:pPr>
            <w:r>
              <w:rPr>
                <w:rFonts w:ascii="Arial" w:cs="Arial" w:eastAsia="Arial" w:hAnsi="Arial"/>
                <w:sz w:val="18"/>
                <w:szCs w:val="18"/>
                <w:color w:val="auto"/>
              </w:rPr>
              <w:t>Total stockholders’ deficiency</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w w:val="90"/>
              </w:rPr>
              <w:t>(95,181,087)</w:t>
            </w:r>
          </w:p>
        </w:tc>
        <w:tc>
          <w:tcPr>
            <w:tcW w:w="122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(73,270,706)</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620" w:type="dxa"/>
            <w:vAlign w:val="bottom"/>
          </w:tcPr>
          <w:p>
            <w:pPr>
              <w:ind w:left="700"/>
              <w:spacing w:after="0"/>
              <w:rPr>
                <w:sz w:val="20"/>
                <w:szCs w:val="20"/>
                <w:color w:val="auto"/>
              </w:rPr>
            </w:pPr>
            <w:r>
              <w:rPr>
                <w:rFonts w:ascii="Arial" w:cs="Arial" w:eastAsia="Arial" w:hAnsi="Arial"/>
                <w:sz w:val="18"/>
                <w:szCs w:val="18"/>
                <w:color w:val="auto"/>
              </w:rPr>
              <w:t>Total liabilities, convertible preferred stock and stockholders’ deficiency</w:t>
            </w:r>
          </w:p>
        </w:tc>
        <w:tc>
          <w:tcPr>
            <w:tcW w:w="20" w:type="dxa"/>
            <w:vAlign w:val="bottom"/>
            <w:tcBorders>
              <w:bottom w:val="single" w:sz="8" w:color="auto"/>
            </w:tcBorders>
          </w:tcPr>
          <w:p>
            <w:pPr>
              <w:spacing w:after="0"/>
              <w:rPr>
                <w:sz w:val="19"/>
                <w:szCs w:val="19"/>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5"/>
              </w:rPr>
              <w:t>27,599,518</w:t>
            </w: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9"/>
              </w:rPr>
              <w:t>$ 31,165,291</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6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The accompanying notes are an integral part of these unaudited condensed consolidated financial statements.</w:t>
      </w:r>
    </w:p>
    <w:p>
      <w:pPr>
        <w:spacing w:after="0" w:line="158"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040"/>
          </w:cols>
          <w:pgMar w:left="440" w:top="270" w:right="419" w:bottom="1440" w:gutter="0" w:footer="0" w:header="0"/>
        </w:sectPr>
      </w:pPr>
    </w:p>
    <w:bookmarkStart w:id="25" w:name="page26"/>
    <w:bookmarkEnd w:id="25"/>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SiriusDecisions, Inc. and Subsidiaries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Unaudited Condensed Consolidated Statements of Operations and Comprehensive Income for the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Nine Months Ended December 31, 2018 and 2017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40005</wp:posOffset>
            </wp:positionV>
            <wp:extent cx="6997700" cy="889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6997700" cy="8890"/>
                    </a:xfrm>
                    <a:prstGeom prst="rect">
                      <a:avLst/>
                    </a:prstGeom>
                    <a:noFill/>
                  </pic:spPr>
                </pic:pic>
              </a:graphicData>
            </a:graphic>
          </wp:anchor>
        </w:drawing>
      </w:r>
    </w:p>
    <w:p>
      <w:pPr>
        <w:spacing w:after="0" w:line="318"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5880" w:type="dxa"/>
            <w:vAlign w:val="bottom"/>
            <w:tcBorders>
              <w:bottom w:val="single" w:sz="8" w:color="CCEEFF"/>
            </w:tcBorders>
          </w:tcPr>
          <w:p>
            <w:pPr>
              <w:spacing w:after="0"/>
              <w:rPr>
                <w:sz w:val="14"/>
                <w:szCs w:val="14"/>
                <w:color w:val="auto"/>
              </w:rPr>
            </w:pPr>
          </w:p>
        </w:tc>
        <w:tc>
          <w:tcPr>
            <w:tcW w:w="288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jc w:val="right"/>
              <w:ind w:right="232"/>
              <w:spacing w:after="0"/>
              <w:rPr>
                <w:sz w:val="20"/>
                <w:szCs w:val="20"/>
                <w:color w:val="auto"/>
              </w:rPr>
            </w:pPr>
            <w:r>
              <w:rPr>
                <w:rFonts w:ascii="Arial" w:cs="Arial" w:eastAsia="Arial" w:hAnsi="Arial"/>
                <w:sz w:val="14"/>
                <w:szCs w:val="14"/>
                <w:b w:val="1"/>
                <w:bCs w:val="1"/>
                <w:color w:val="auto"/>
              </w:rPr>
              <w:t>2018</w:t>
            </w:r>
          </w:p>
        </w:tc>
        <w:tc>
          <w:tcPr>
            <w:tcW w:w="180" w:type="dxa"/>
            <w:vAlign w:val="bottom"/>
            <w:tcBorders>
              <w:bottom w:val="single" w:sz="8" w:color="CCEEFF"/>
            </w:tcBorders>
          </w:tcPr>
          <w:p>
            <w:pPr>
              <w:spacing w:after="0"/>
              <w:rPr>
                <w:sz w:val="14"/>
                <w:szCs w:val="14"/>
                <w:color w:val="auto"/>
              </w:rPr>
            </w:pPr>
          </w:p>
        </w:tc>
        <w:tc>
          <w:tcPr>
            <w:tcW w:w="140" w:type="dxa"/>
            <w:vAlign w:val="bottom"/>
            <w:tcBorders>
              <w:bottom w:val="single" w:sz="8" w:color="CCEEFF"/>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jc w:val="right"/>
              <w:ind w:right="232"/>
              <w:spacing w:after="0"/>
              <w:rPr>
                <w:sz w:val="20"/>
                <w:szCs w:val="20"/>
                <w:color w:val="auto"/>
              </w:rPr>
            </w:pPr>
            <w:r>
              <w:rPr>
                <w:rFonts w:ascii="Arial" w:cs="Arial" w:eastAsia="Arial" w:hAnsi="Arial"/>
                <w:sz w:val="14"/>
                <w:szCs w:val="14"/>
                <w:b w:val="1"/>
                <w:bCs w:val="1"/>
                <w:color w:val="auto"/>
              </w:rPr>
              <w:t>2017</w:t>
            </w:r>
          </w:p>
        </w:tc>
        <w:tc>
          <w:tcPr>
            <w:tcW w:w="120" w:type="dxa"/>
            <w:vAlign w:val="bottom"/>
            <w:tcBorders>
              <w:bottom w:val="single" w:sz="8" w:color="CCEEFF"/>
            </w:tcBorders>
          </w:tcPr>
          <w:p>
            <w:pPr>
              <w:spacing w:after="0"/>
              <w:rPr>
                <w:sz w:val="14"/>
                <w:szCs w:val="14"/>
                <w:color w:val="auto"/>
              </w:rPr>
            </w:pPr>
          </w:p>
        </w:tc>
      </w:tr>
      <w:tr>
        <w:trPr>
          <w:trHeight w:val="210"/>
        </w:trPr>
        <w:tc>
          <w:tcPr>
            <w:tcW w:w="20" w:type="dxa"/>
            <w:vAlign w:val="bottom"/>
          </w:tcPr>
          <w:p>
            <w:pPr>
              <w:spacing w:after="0"/>
              <w:rPr>
                <w:sz w:val="18"/>
                <w:szCs w:val="18"/>
                <w:color w:val="auto"/>
              </w:rPr>
            </w:pPr>
          </w:p>
        </w:tc>
        <w:tc>
          <w:tcPr>
            <w:tcW w:w="5880" w:type="dxa"/>
            <w:vAlign w:val="bottom"/>
            <w:shd w:val="clear" w:color="auto" w:fill="CCEEFF"/>
          </w:tcPr>
          <w:p>
            <w:pPr>
              <w:spacing w:after="0"/>
              <w:rPr>
                <w:sz w:val="20"/>
                <w:szCs w:val="20"/>
                <w:color w:val="auto"/>
              </w:rPr>
            </w:pPr>
            <w:r>
              <w:rPr>
                <w:rFonts w:ascii="Arial" w:cs="Arial" w:eastAsia="Arial" w:hAnsi="Arial"/>
                <w:sz w:val="18"/>
                <w:szCs w:val="18"/>
                <w:color w:val="auto"/>
              </w:rPr>
              <w:t>Revenue</w:t>
            </w:r>
          </w:p>
        </w:tc>
        <w:tc>
          <w:tcPr>
            <w:tcW w:w="288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u w:val="single" w:color="auto"/>
                <w:color w:val="auto"/>
                <w:w w:val="79"/>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6"/>
              </w:rPr>
              <w:t>70,731,861</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u w:val="single" w:color="auto"/>
                <w:color w:val="auto"/>
                <w:w w:val="71"/>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8"/>
              </w:rPr>
              <w:t>61,250,714</w:t>
            </w:r>
          </w:p>
        </w:tc>
        <w:tc>
          <w:tcPr>
            <w:tcW w:w="120" w:type="dxa"/>
            <w:vAlign w:val="bottom"/>
            <w:shd w:val="clear" w:color="auto" w:fill="CCEEFF"/>
          </w:tcPr>
          <w:p>
            <w:pPr>
              <w:spacing w:after="0"/>
              <w:rPr>
                <w:sz w:val="18"/>
                <w:szCs w:val="18"/>
                <w:color w:val="auto"/>
              </w:rPr>
            </w:pPr>
          </w:p>
        </w:tc>
      </w:tr>
      <w:tr>
        <w:trPr>
          <w:trHeight w:val="223"/>
        </w:trPr>
        <w:tc>
          <w:tcPr>
            <w:tcW w:w="5900" w:type="dxa"/>
            <w:vAlign w:val="bottom"/>
            <w:gridSpan w:val="2"/>
          </w:tcPr>
          <w:p>
            <w:pPr>
              <w:spacing w:after="0"/>
              <w:rPr>
                <w:sz w:val="20"/>
                <w:szCs w:val="20"/>
                <w:color w:val="auto"/>
              </w:rPr>
            </w:pPr>
            <w:r>
              <w:rPr>
                <w:rFonts w:ascii="Arial" w:cs="Arial" w:eastAsia="Arial" w:hAnsi="Arial"/>
                <w:sz w:val="18"/>
                <w:szCs w:val="18"/>
                <w:b w:val="1"/>
                <w:bCs w:val="1"/>
                <w:color w:val="auto"/>
              </w:rPr>
              <w:t>Costs and expenses</w:t>
            </w:r>
          </w:p>
        </w:tc>
        <w:tc>
          <w:tcPr>
            <w:tcW w:w="28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2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5880" w:type="dxa"/>
            <w:vAlign w:val="bottom"/>
            <w:shd w:val="clear" w:color="auto" w:fill="CCEEFF"/>
          </w:tcPr>
          <w:p>
            <w:pPr>
              <w:spacing w:after="0"/>
              <w:rPr>
                <w:sz w:val="20"/>
                <w:szCs w:val="20"/>
                <w:color w:val="auto"/>
              </w:rPr>
            </w:pPr>
            <w:r>
              <w:rPr>
                <w:rFonts w:ascii="Arial" w:cs="Arial" w:eastAsia="Arial" w:hAnsi="Arial"/>
                <w:sz w:val="18"/>
                <w:szCs w:val="18"/>
                <w:color w:val="auto"/>
              </w:rPr>
              <w:t>Cost of services and product development</w:t>
            </w:r>
          </w:p>
        </w:tc>
        <w:tc>
          <w:tcPr>
            <w:tcW w:w="2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27,285,677</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8"/>
              </w:rPr>
              <w:t>26,016,485</w:t>
            </w:r>
          </w:p>
        </w:tc>
        <w:tc>
          <w:tcPr>
            <w:tcW w:w="12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880" w:type="dxa"/>
            <w:vAlign w:val="bottom"/>
          </w:tcPr>
          <w:p>
            <w:pPr>
              <w:spacing w:after="0"/>
              <w:rPr>
                <w:sz w:val="20"/>
                <w:szCs w:val="20"/>
                <w:color w:val="auto"/>
              </w:rPr>
            </w:pPr>
            <w:r>
              <w:rPr>
                <w:rFonts w:ascii="Arial" w:cs="Arial" w:eastAsia="Arial" w:hAnsi="Arial"/>
                <w:sz w:val="18"/>
                <w:szCs w:val="18"/>
                <w:color w:val="auto"/>
              </w:rPr>
              <w:t>Selling, general and administrative</w:t>
            </w:r>
          </w:p>
        </w:tc>
        <w:tc>
          <w:tcPr>
            <w:tcW w:w="2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w w:val="86"/>
              </w:rPr>
              <w:t>38,904,176</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w w:val="88"/>
              </w:rPr>
              <w:t>33,457,837</w:t>
            </w:r>
          </w:p>
        </w:tc>
        <w:tc>
          <w:tcPr>
            <w:tcW w:w="1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880" w:type="dxa"/>
            <w:vAlign w:val="bottom"/>
            <w:shd w:val="clear" w:color="auto" w:fill="CCEEFF"/>
          </w:tcPr>
          <w:p>
            <w:pPr>
              <w:spacing w:after="0"/>
              <w:rPr>
                <w:sz w:val="20"/>
                <w:szCs w:val="20"/>
                <w:color w:val="auto"/>
              </w:rPr>
            </w:pPr>
            <w:r>
              <w:rPr>
                <w:rFonts w:ascii="Arial" w:cs="Arial" w:eastAsia="Arial" w:hAnsi="Arial"/>
                <w:sz w:val="18"/>
                <w:szCs w:val="18"/>
                <w:color w:val="auto"/>
              </w:rPr>
              <w:t>Depreciation and amortization</w:t>
            </w:r>
          </w:p>
        </w:tc>
        <w:tc>
          <w:tcPr>
            <w:tcW w:w="288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7"/>
              </w:rPr>
              <w:t>1,347,921</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1,304,754</w:t>
            </w:r>
          </w:p>
        </w:tc>
        <w:tc>
          <w:tcPr>
            <w:tcW w:w="120" w:type="dxa"/>
            <w:vAlign w:val="bottom"/>
            <w:shd w:val="clear" w:color="auto" w:fill="CCEEFF"/>
          </w:tcPr>
          <w:p>
            <w:pPr>
              <w:spacing w:after="0"/>
              <w:rPr>
                <w:sz w:val="18"/>
                <w:szCs w:val="18"/>
                <w:color w:val="auto"/>
              </w:rPr>
            </w:pPr>
          </w:p>
        </w:tc>
      </w:tr>
      <w:tr>
        <w:trPr>
          <w:trHeight w:val="230"/>
        </w:trPr>
        <w:tc>
          <w:tcPr>
            <w:tcW w:w="20" w:type="dxa"/>
            <w:vAlign w:val="bottom"/>
          </w:tcPr>
          <w:p>
            <w:pPr>
              <w:spacing w:after="0"/>
              <w:rPr>
                <w:sz w:val="20"/>
                <w:szCs w:val="20"/>
                <w:color w:val="auto"/>
              </w:rPr>
            </w:pPr>
          </w:p>
        </w:tc>
        <w:tc>
          <w:tcPr>
            <w:tcW w:w="5880" w:type="dxa"/>
            <w:vAlign w:val="bottom"/>
          </w:tcPr>
          <w:p>
            <w:pPr>
              <w:ind w:left="340"/>
              <w:spacing w:after="0"/>
              <w:rPr>
                <w:sz w:val="20"/>
                <w:szCs w:val="20"/>
                <w:color w:val="auto"/>
              </w:rPr>
            </w:pPr>
            <w:r>
              <w:rPr>
                <w:rFonts w:ascii="Arial" w:cs="Arial" w:eastAsia="Arial" w:hAnsi="Arial"/>
                <w:sz w:val="18"/>
                <w:szCs w:val="18"/>
                <w:color w:val="auto"/>
              </w:rPr>
              <w:t>Total cost and expenses</w:t>
            </w:r>
          </w:p>
        </w:tc>
        <w:tc>
          <w:tcPr>
            <w:tcW w:w="288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6"/>
              </w:rPr>
              <w:t>67,537,774</w:t>
            </w:r>
          </w:p>
        </w:tc>
        <w:tc>
          <w:tcPr>
            <w:tcW w:w="1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8"/>
              </w:rPr>
              <w:t>60,779,076</w:t>
            </w:r>
          </w:p>
        </w:tc>
        <w:tc>
          <w:tcPr>
            <w:tcW w:w="120" w:type="dxa"/>
            <w:vAlign w:val="bottom"/>
          </w:tcPr>
          <w:p>
            <w:pPr>
              <w:spacing w:after="0"/>
              <w:rPr>
                <w:sz w:val="20"/>
                <w:szCs w:val="20"/>
                <w:color w:val="auto"/>
              </w:rPr>
            </w:pPr>
          </w:p>
        </w:tc>
      </w:tr>
      <w:tr>
        <w:trPr>
          <w:trHeight w:val="216"/>
        </w:trPr>
        <w:tc>
          <w:tcPr>
            <w:tcW w:w="20" w:type="dxa"/>
            <w:vAlign w:val="bottom"/>
          </w:tcPr>
          <w:p>
            <w:pPr>
              <w:spacing w:after="0"/>
              <w:rPr>
                <w:sz w:val="18"/>
                <w:szCs w:val="18"/>
                <w:color w:val="auto"/>
              </w:rPr>
            </w:pPr>
          </w:p>
        </w:tc>
        <w:tc>
          <w:tcPr>
            <w:tcW w:w="58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Income from operations</w:t>
            </w:r>
          </w:p>
        </w:tc>
        <w:tc>
          <w:tcPr>
            <w:tcW w:w="2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3,194,087</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471,638</w:t>
            </w:r>
          </w:p>
        </w:tc>
        <w:tc>
          <w:tcPr>
            <w:tcW w:w="120" w:type="dxa"/>
            <w:vAlign w:val="bottom"/>
            <w:shd w:val="clear" w:color="auto" w:fill="CCEEFF"/>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5880" w:type="dxa"/>
            <w:vAlign w:val="bottom"/>
          </w:tcPr>
          <w:p>
            <w:pPr>
              <w:spacing w:after="0"/>
              <w:rPr>
                <w:sz w:val="20"/>
                <w:szCs w:val="20"/>
                <w:color w:val="auto"/>
              </w:rPr>
            </w:pPr>
            <w:r>
              <w:rPr>
                <w:rFonts w:ascii="Arial" w:cs="Arial" w:eastAsia="Arial" w:hAnsi="Arial"/>
                <w:sz w:val="18"/>
                <w:szCs w:val="18"/>
                <w:color w:val="auto"/>
              </w:rPr>
              <w:t>Other expense, net</w:t>
            </w:r>
          </w:p>
        </w:tc>
        <w:tc>
          <w:tcPr>
            <w:tcW w:w="28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0" w:type="dxa"/>
            <w:vAlign w:val="bottom"/>
            <w:gridSpan w:val="2"/>
          </w:tcPr>
          <w:p>
            <w:pPr>
              <w:jc w:val="right"/>
              <w:ind w:right="140"/>
              <w:spacing w:after="0"/>
              <w:rPr>
                <w:sz w:val="20"/>
                <w:szCs w:val="20"/>
                <w:color w:val="auto"/>
              </w:rPr>
            </w:pPr>
            <w:r>
              <w:rPr>
                <w:rFonts w:ascii="Arial" w:cs="Arial" w:eastAsia="Arial" w:hAnsi="Arial"/>
                <w:sz w:val="18"/>
                <w:szCs w:val="18"/>
                <w:color w:val="auto"/>
              </w:rPr>
              <w:t>(350,111)</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940" w:type="dxa"/>
            <w:vAlign w:val="bottom"/>
            <w:gridSpan w:val="2"/>
          </w:tcPr>
          <w:p>
            <w:pPr>
              <w:jc w:val="right"/>
              <w:ind w:right="60"/>
              <w:spacing w:after="0"/>
              <w:rPr>
                <w:sz w:val="20"/>
                <w:szCs w:val="20"/>
                <w:color w:val="auto"/>
              </w:rPr>
            </w:pPr>
            <w:r>
              <w:rPr>
                <w:rFonts w:ascii="Arial" w:cs="Arial" w:eastAsia="Arial" w:hAnsi="Arial"/>
                <w:sz w:val="18"/>
                <w:szCs w:val="18"/>
                <w:color w:val="auto"/>
              </w:rPr>
              <w:t>(7,832)</w:t>
            </w:r>
          </w:p>
        </w:tc>
      </w:tr>
      <w:tr>
        <w:trPr>
          <w:trHeight w:val="216"/>
        </w:trPr>
        <w:tc>
          <w:tcPr>
            <w:tcW w:w="20" w:type="dxa"/>
            <w:vAlign w:val="bottom"/>
          </w:tcPr>
          <w:p>
            <w:pPr>
              <w:spacing w:after="0"/>
              <w:rPr>
                <w:sz w:val="18"/>
                <w:szCs w:val="18"/>
                <w:color w:val="auto"/>
              </w:rPr>
            </w:pPr>
          </w:p>
        </w:tc>
        <w:tc>
          <w:tcPr>
            <w:tcW w:w="58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Net income</w:t>
            </w:r>
          </w:p>
        </w:tc>
        <w:tc>
          <w:tcPr>
            <w:tcW w:w="288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7"/>
              </w:rPr>
              <w:t>2,843,976</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463,806</w:t>
            </w:r>
          </w:p>
        </w:tc>
        <w:tc>
          <w:tcPr>
            <w:tcW w:w="120" w:type="dxa"/>
            <w:vAlign w:val="bottom"/>
            <w:shd w:val="clear" w:color="auto" w:fill="CCEEFF"/>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5880" w:type="dxa"/>
            <w:vAlign w:val="bottom"/>
          </w:tcPr>
          <w:p>
            <w:pPr>
              <w:spacing w:after="0"/>
              <w:rPr>
                <w:sz w:val="20"/>
                <w:szCs w:val="20"/>
                <w:color w:val="auto"/>
              </w:rPr>
            </w:pPr>
            <w:r>
              <w:rPr>
                <w:rFonts w:ascii="Arial" w:cs="Arial" w:eastAsia="Arial" w:hAnsi="Arial"/>
                <w:sz w:val="18"/>
                <w:szCs w:val="18"/>
                <w:color w:val="auto"/>
              </w:rPr>
              <w:t>Effect of translation adjustments</w:t>
            </w:r>
          </w:p>
        </w:tc>
        <w:tc>
          <w:tcPr>
            <w:tcW w:w="288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232,083</w:t>
            </w: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12,985</w:t>
            </w:r>
          </w:p>
        </w:tc>
        <w:tc>
          <w:tcPr>
            <w:tcW w:w="12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58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Total comprehensive income</w:t>
            </w:r>
          </w:p>
        </w:tc>
        <w:tc>
          <w:tcPr>
            <w:tcW w:w="29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3,076,059</w:t>
            </w:r>
          </w:p>
        </w:tc>
        <w:tc>
          <w:tcPr>
            <w:tcW w:w="180" w:type="dxa"/>
            <w:vAlign w:val="bottom"/>
            <w:shd w:val="clear" w:color="auto" w:fill="CCEEFF"/>
          </w:tcPr>
          <w:p>
            <w:pPr>
              <w:spacing w:after="0"/>
              <w:rPr>
                <w:sz w:val="18"/>
                <w:szCs w:val="18"/>
                <w:color w:val="auto"/>
              </w:rPr>
            </w:pP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476,791</w:t>
            </w:r>
          </w:p>
        </w:tc>
        <w:tc>
          <w:tcPr>
            <w:tcW w:w="120" w:type="dxa"/>
            <w:vAlign w:val="bottom"/>
            <w:shd w:val="clear" w:color="auto" w:fill="CCEEFF"/>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5880" w:type="dxa"/>
            <w:vAlign w:val="bottom"/>
          </w:tcPr>
          <w:p>
            <w:pPr>
              <w:spacing w:after="0" w:line="20" w:lineRule="exact"/>
              <w:rPr>
                <w:sz w:val="1"/>
                <w:szCs w:val="1"/>
                <w:color w:val="auto"/>
              </w:rPr>
            </w:pPr>
          </w:p>
        </w:tc>
        <w:tc>
          <w:tcPr>
            <w:tcW w:w="28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15"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The accompanying notes are an integral part of these unaudited condensed consolidated financial statements.</w:t>
      </w:r>
    </w:p>
    <w:p>
      <w:pPr>
        <w:spacing w:after="0" w:line="158"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040"/>
          </w:cols>
          <w:pgMar w:left="440" w:top="270" w:right="419" w:bottom="1440" w:gutter="0" w:footer="0" w:header="0"/>
        </w:sectPr>
      </w:pPr>
    </w:p>
    <w:bookmarkStart w:id="26" w:name="page27"/>
    <w:bookmarkEnd w:id="26"/>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SiriusDecisions, Inc. and Subsidiaries</w:t>
      </w:r>
    </w:p>
    <w:p>
      <w:pPr>
        <w:spacing w:after="0" w:line="27" w:lineRule="exact"/>
        <w:rPr>
          <w:sz w:val="20"/>
          <w:szCs w:val="20"/>
          <w:color w:val="auto"/>
        </w:rPr>
      </w:pPr>
    </w:p>
    <w:p>
      <w:pPr>
        <w:ind w:right="1220"/>
        <w:spacing w:after="0" w:line="261" w:lineRule="auto"/>
        <w:rPr>
          <w:sz w:val="20"/>
          <w:szCs w:val="20"/>
          <w:color w:val="auto"/>
        </w:rPr>
      </w:pPr>
      <w:r>
        <w:rPr>
          <w:rFonts w:ascii="Arial" w:cs="Arial" w:eastAsia="Arial" w:hAnsi="Arial"/>
          <w:sz w:val="18"/>
          <w:szCs w:val="18"/>
          <w:b w:val="1"/>
          <w:bCs w:val="1"/>
          <w:color w:val="auto"/>
        </w:rPr>
        <w:t>Unaudited Condensed Consolidated Statements of Changes in Convertible Preferred Stock and Stockholders’ Deficiency for the Nine Months Ended December 31, 2018 and 2017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22860</wp:posOffset>
            </wp:positionV>
            <wp:extent cx="6997700" cy="889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6997700" cy="8890"/>
                    </a:xfrm>
                    <a:prstGeom prst="rect">
                      <a:avLst/>
                    </a:prstGeom>
                    <a:noFill/>
                  </pic:spPr>
                </pic:pic>
              </a:graphicData>
            </a:graphic>
          </wp:anchor>
        </w:drawing>
      </w:r>
    </w:p>
    <w:p>
      <w:pPr>
        <w:spacing w:after="0" w:line="27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880" w:type="dxa"/>
            <w:vAlign w:val="bottom"/>
          </w:tcPr>
          <w:p>
            <w:pPr>
              <w:spacing w:after="0"/>
              <w:rPr>
                <w:sz w:val="14"/>
                <w:szCs w:val="14"/>
                <w:color w:val="auto"/>
              </w:rPr>
            </w:pPr>
          </w:p>
        </w:tc>
        <w:tc>
          <w:tcPr>
            <w:tcW w:w="1880" w:type="dxa"/>
            <w:vAlign w:val="bottom"/>
            <w:gridSpan w:val="4"/>
          </w:tcPr>
          <w:p>
            <w:pPr>
              <w:jc w:val="right"/>
              <w:ind w:right="248"/>
              <w:spacing w:after="0"/>
              <w:rPr>
                <w:sz w:val="20"/>
                <w:szCs w:val="20"/>
                <w:color w:val="auto"/>
              </w:rPr>
            </w:pPr>
            <w:r>
              <w:rPr>
                <w:rFonts w:ascii="Arial" w:cs="Arial" w:eastAsia="Arial" w:hAnsi="Arial"/>
                <w:sz w:val="14"/>
                <w:szCs w:val="14"/>
                <w:b w:val="1"/>
                <w:bCs w:val="1"/>
                <w:color w:val="auto"/>
              </w:rPr>
              <w:t>Series A Convertible</w:t>
            </w:r>
          </w:p>
        </w:tc>
        <w:tc>
          <w:tcPr>
            <w:tcW w:w="180" w:type="dxa"/>
            <w:vAlign w:val="bottom"/>
          </w:tcPr>
          <w:p>
            <w:pPr>
              <w:spacing w:after="0"/>
              <w:rPr>
                <w:sz w:val="14"/>
                <w:szCs w:val="14"/>
                <w:color w:val="auto"/>
              </w:rPr>
            </w:pPr>
          </w:p>
        </w:tc>
        <w:tc>
          <w:tcPr>
            <w:tcW w:w="1500" w:type="dxa"/>
            <w:vAlign w:val="bottom"/>
            <w:gridSpan w:val="4"/>
            <w:vMerge w:val="restart"/>
          </w:tcPr>
          <w:p>
            <w:pPr>
              <w:ind w:left="260"/>
              <w:spacing w:after="0"/>
              <w:rPr>
                <w:sz w:val="20"/>
                <w:szCs w:val="20"/>
                <w:color w:val="auto"/>
              </w:rPr>
            </w:pPr>
            <w:r>
              <w:rPr>
                <w:rFonts w:ascii="Arial" w:cs="Arial" w:eastAsia="Arial" w:hAnsi="Arial"/>
                <w:sz w:val="14"/>
                <w:szCs w:val="14"/>
                <w:b w:val="1"/>
                <w:bCs w:val="1"/>
                <w:color w:val="auto"/>
              </w:rPr>
              <w:t>Common Stock</w:t>
            </w:r>
          </w:p>
        </w:tc>
        <w:tc>
          <w:tcPr>
            <w:tcW w:w="980" w:type="dxa"/>
            <w:vAlign w:val="bottom"/>
            <w:gridSpan w:val="4"/>
            <w:vMerge w:val="restart"/>
          </w:tcPr>
          <w:p>
            <w:pPr>
              <w:ind w:left="180"/>
              <w:spacing w:after="0"/>
              <w:rPr>
                <w:sz w:val="20"/>
                <w:szCs w:val="20"/>
                <w:color w:val="auto"/>
              </w:rPr>
            </w:pPr>
            <w:r>
              <w:rPr>
                <w:rFonts w:ascii="Arial" w:cs="Arial" w:eastAsia="Arial" w:hAnsi="Arial"/>
                <w:sz w:val="14"/>
                <w:szCs w:val="14"/>
                <w:b w:val="1"/>
                <w:bCs w:val="1"/>
                <w:color w:val="auto"/>
              </w:rPr>
              <w:t>Additional</w:t>
            </w:r>
          </w:p>
        </w:tc>
        <w:tc>
          <w:tcPr>
            <w:tcW w:w="1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80" w:type="dxa"/>
            <w:vAlign w:val="bottom"/>
            <w:gridSpan w:val="4"/>
            <w:vMerge w:val="restart"/>
          </w:tcPr>
          <w:p>
            <w:pPr>
              <w:jc w:val="center"/>
              <w:ind w:right="20"/>
              <w:spacing w:after="0"/>
              <w:rPr>
                <w:sz w:val="20"/>
                <w:szCs w:val="20"/>
                <w:color w:val="auto"/>
              </w:rPr>
            </w:pPr>
            <w:r>
              <w:rPr>
                <w:rFonts w:ascii="Arial" w:cs="Arial" w:eastAsia="Arial" w:hAnsi="Arial"/>
                <w:sz w:val="14"/>
                <w:szCs w:val="14"/>
                <w:b w:val="1"/>
                <w:bCs w:val="1"/>
                <w:color w:val="auto"/>
                <w:w w:val="94"/>
              </w:rPr>
              <w:t>Accumulated Other</w:t>
            </w: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80" w:type="dxa"/>
            <w:vAlign w:val="bottom"/>
            <w:gridSpan w:val="2"/>
            <w:vMerge w:val="restart"/>
          </w:tcPr>
          <w:p>
            <w:pPr>
              <w:jc w:val="right"/>
              <w:ind w:right="339"/>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2880" w:type="dxa"/>
            <w:vAlign w:val="bottom"/>
          </w:tcPr>
          <w:p>
            <w:pPr>
              <w:spacing w:after="0"/>
              <w:rPr>
                <w:sz w:val="14"/>
                <w:szCs w:val="14"/>
                <w:color w:val="auto"/>
              </w:rPr>
            </w:pPr>
          </w:p>
        </w:tc>
        <w:tc>
          <w:tcPr>
            <w:tcW w:w="1880" w:type="dxa"/>
            <w:vAlign w:val="bottom"/>
            <w:tcBorders>
              <w:bottom w:val="single" w:sz="8" w:color="auto"/>
            </w:tcBorders>
            <w:gridSpan w:val="4"/>
          </w:tcPr>
          <w:p>
            <w:pPr>
              <w:jc w:val="right"/>
              <w:spacing w:after="0"/>
              <w:rPr>
                <w:sz w:val="20"/>
                <w:szCs w:val="20"/>
                <w:color w:val="auto"/>
              </w:rPr>
            </w:pPr>
            <w:r>
              <w:rPr>
                <w:rFonts w:ascii="Arial" w:cs="Arial" w:eastAsia="Arial" w:hAnsi="Arial"/>
                <w:sz w:val="14"/>
                <w:szCs w:val="14"/>
                <w:b w:val="1"/>
                <w:bCs w:val="1"/>
                <w:color w:val="auto"/>
                <w:w w:val="94"/>
              </w:rPr>
              <w:t>Redeemable Preferred Stock</w:t>
            </w:r>
          </w:p>
        </w:tc>
        <w:tc>
          <w:tcPr>
            <w:tcW w:w="180" w:type="dxa"/>
            <w:vAlign w:val="bottom"/>
          </w:tcPr>
          <w:p>
            <w:pPr>
              <w:spacing w:after="0"/>
              <w:rPr>
                <w:sz w:val="14"/>
                <w:szCs w:val="14"/>
                <w:color w:val="auto"/>
              </w:rPr>
            </w:pPr>
          </w:p>
        </w:tc>
        <w:tc>
          <w:tcPr>
            <w:tcW w:w="1500" w:type="dxa"/>
            <w:vAlign w:val="bottom"/>
            <w:tcBorders>
              <w:bottom w:val="single" w:sz="8" w:color="auto"/>
            </w:tcBorders>
            <w:gridSpan w:val="4"/>
            <w:vMerge w:val="continue"/>
          </w:tcPr>
          <w:p>
            <w:pPr>
              <w:spacing w:after="0"/>
              <w:rPr>
                <w:sz w:val="14"/>
                <w:szCs w:val="14"/>
                <w:color w:val="auto"/>
              </w:rPr>
            </w:pPr>
          </w:p>
        </w:tc>
        <w:tc>
          <w:tcPr>
            <w:tcW w:w="980" w:type="dxa"/>
            <w:vAlign w:val="bottom"/>
            <w:gridSpan w:val="4"/>
            <w:vMerge w:val="continue"/>
          </w:tcPr>
          <w:p>
            <w:pPr>
              <w:spacing w:after="0"/>
              <w:rPr>
                <w:sz w:val="14"/>
                <w:szCs w:val="14"/>
                <w:color w:val="auto"/>
              </w:rPr>
            </w:pPr>
          </w:p>
        </w:tc>
        <w:tc>
          <w:tcPr>
            <w:tcW w:w="1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80" w:type="dxa"/>
            <w:vAlign w:val="bottom"/>
            <w:gridSpan w:val="4"/>
            <w:vMerge w:val="continue"/>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8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2880" w:type="dxa"/>
            <w:vAlign w:val="bottom"/>
          </w:tcPr>
          <w:p>
            <w:pPr>
              <w:spacing w:after="0"/>
              <w:rPr>
                <w:sz w:val="10"/>
                <w:szCs w:val="10"/>
                <w:color w:val="auto"/>
              </w:rPr>
            </w:pPr>
          </w:p>
        </w:tc>
        <w:tc>
          <w:tcPr>
            <w:tcW w:w="800" w:type="dxa"/>
            <w:vAlign w:val="bottom"/>
          </w:tcPr>
          <w:p>
            <w:pPr>
              <w:jc w:val="right"/>
              <w:ind w:right="8"/>
              <w:spacing w:after="0" w:line="119" w:lineRule="exact"/>
              <w:rPr>
                <w:sz w:val="20"/>
                <w:szCs w:val="20"/>
                <w:color w:val="auto"/>
              </w:rPr>
            </w:pPr>
            <w:r>
              <w:rPr>
                <w:rFonts w:ascii="Arial" w:cs="Arial" w:eastAsia="Arial" w:hAnsi="Arial"/>
                <w:sz w:val="13"/>
                <w:szCs w:val="13"/>
                <w:b w:val="1"/>
                <w:bCs w:val="1"/>
                <w:color w:val="auto"/>
              </w:rPr>
              <w:t>Number of</w:t>
            </w:r>
          </w:p>
        </w:tc>
        <w:tc>
          <w:tcPr>
            <w:tcW w:w="1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0" w:type="dxa"/>
            <w:vAlign w:val="bottom"/>
            <w:vMerge w:val="restart"/>
          </w:tcPr>
          <w:p>
            <w:pPr>
              <w:jc w:val="right"/>
              <w:ind w:right="88"/>
              <w:spacing w:after="0"/>
              <w:rPr>
                <w:sz w:val="20"/>
                <w:szCs w:val="20"/>
                <w:color w:val="auto"/>
              </w:rPr>
            </w:pPr>
            <w:r>
              <w:rPr>
                <w:rFonts w:ascii="Arial" w:cs="Arial" w:eastAsia="Arial" w:hAnsi="Arial"/>
                <w:sz w:val="14"/>
                <w:szCs w:val="14"/>
                <w:b w:val="1"/>
                <w:bCs w:val="1"/>
                <w:color w:val="auto"/>
                <w:w w:val="97"/>
              </w:rPr>
              <w:t>Par Value</w:t>
            </w:r>
          </w:p>
        </w:tc>
        <w:tc>
          <w:tcPr>
            <w:tcW w:w="180" w:type="dxa"/>
            <w:vAlign w:val="bottom"/>
          </w:tcPr>
          <w:p>
            <w:pPr>
              <w:spacing w:after="0"/>
              <w:rPr>
                <w:sz w:val="10"/>
                <w:szCs w:val="10"/>
                <w:color w:val="auto"/>
              </w:rPr>
            </w:pPr>
          </w:p>
        </w:tc>
        <w:tc>
          <w:tcPr>
            <w:tcW w:w="700" w:type="dxa"/>
            <w:vAlign w:val="bottom"/>
          </w:tcPr>
          <w:p>
            <w:pPr>
              <w:jc w:val="right"/>
              <w:ind w:right="28"/>
              <w:spacing w:after="0" w:line="119" w:lineRule="exact"/>
              <w:rPr>
                <w:sz w:val="20"/>
                <w:szCs w:val="20"/>
                <w:color w:val="auto"/>
              </w:rPr>
            </w:pPr>
            <w:r>
              <w:rPr>
                <w:rFonts w:ascii="Arial" w:cs="Arial" w:eastAsia="Arial" w:hAnsi="Arial"/>
                <w:sz w:val="13"/>
                <w:szCs w:val="13"/>
                <w:b w:val="1"/>
                <w:bCs w:val="1"/>
                <w:color w:val="auto"/>
              </w:rPr>
              <w:t>Number</w:t>
            </w:r>
          </w:p>
        </w:tc>
        <w:tc>
          <w:tcPr>
            <w:tcW w:w="800" w:type="dxa"/>
            <w:vAlign w:val="bottom"/>
            <w:gridSpan w:val="3"/>
            <w:vMerge w:val="restart"/>
          </w:tcPr>
          <w:p>
            <w:pPr>
              <w:ind w:left="180"/>
              <w:spacing w:after="0"/>
              <w:rPr>
                <w:sz w:val="20"/>
                <w:szCs w:val="20"/>
                <w:color w:val="auto"/>
              </w:rPr>
            </w:pPr>
            <w:r>
              <w:rPr>
                <w:rFonts w:ascii="Arial" w:cs="Arial" w:eastAsia="Arial" w:hAnsi="Arial"/>
                <w:sz w:val="14"/>
                <w:szCs w:val="14"/>
                <w:b w:val="1"/>
                <w:bCs w:val="1"/>
                <w:color w:val="auto"/>
                <w:w w:val="93"/>
              </w:rPr>
              <w:t>Par Value</w:t>
            </w:r>
          </w:p>
        </w:tc>
        <w:tc>
          <w:tcPr>
            <w:tcW w:w="1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20" w:type="dxa"/>
            <w:vAlign w:val="bottom"/>
            <w:gridSpan w:val="2"/>
          </w:tcPr>
          <w:p>
            <w:pPr>
              <w:jc w:val="right"/>
              <w:ind w:right="260"/>
              <w:spacing w:after="0" w:line="119" w:lineRule="exact"/>
              <w:rPr>
                <w:sz w:val="20"/>
                <w:szCs w:val="20"/>
                <w:color w:val="auto"/>
              </w:rPr>
            </w:pPr>
            <w:r>
              <w:rPr>
                <w:rFonts w:ascii="Arial" w:cs="Arial" w:eastAsia="Arial" w:hAnsi="Arial"/>
                <w:sz w:val="13"/>
                <w:szCs w:val="13"/>
                <w:b w:val="1"/>
                <w:bCs w:val="1"/>
                <w:color w:val="auto"/>
              </w:rPr>
              <w:t>Paid-in</w:t>
            </w:r>
          </w:p>
        </w:tc>
        <w:tc>
          <w:tcPr>
            <w:tcW w:w="1060" w:type="dxa"/>
            <w:vAlign w:val="bottom"/>
            <w:gridSpan w:val="3"/>
          </w:tcPr>
          <w:p>
            <w:pPr>
              <w:jc w:val="right"/>
              <w:ind w:right="99"/>
              <w:spacing w:after="0" w:line="119" w:lineRule="exact"/>
              <w:rPr>
                <w:sz w:val="20"/>
                <w:szCs w:val="20"/>
                <w:color w:val="auto"/>
              </w:rPr>
            </w:pPr>
            <w:r>
              <w:rPr>
                <w:rFonts w:ascii="Arial" w:cs="Arial" w:eastAsia="Arial" w:hAnsi="Arial"/>
                <w:sz w:val="13"/>
                <w:szCs w:val="13"/>
                <w:b w:val="1"/>
                <w:bCs w:val="1"/>
                <w:color w:val="auto"/>
              </w:rPr>
              <w:t>Accumulated</w:t>
            </w: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60" w:type="dxa"/>
            <w:vAlign w:val="bottom"/>
            <w:gridSpan w:val="2"/>
          </w:tcPr>
          <w:p>
            <w:pPr>
              <w:jc w:val="center"/>
              <w:ind w:right="260"/>
              <w:spacing w:after="0" w:line="119" w:lineRule="exact"/>
              <w:rPr>
                <w:sz w:val="20"/>
                <w:szCs w:val="20"/>
                <w:color w:val="auto"/>
              </w:rPr>
            </w:pPr>
            <w:r>
              <w:rPr>
                <w:rFonts w:ascii="Arial" w:cs="Arial" w:eastAsia="Arial" w:hAnsi="Arial"/>
                <w:sz w:val="13"/>
                <w:szCs w:val="13"/>
                <w:b w:val="1"/>
                <w:bCs w:val="1"/>
                <w:color w:val="auto"/>
                <w:w w:val="98"/>
              </w:rPr>
              <w:t>Comprehensive</w:t>
            </w:r>
          </w:p>
        </w:tc>
        <w:tc>
          <w:tcPr>
            <w:tcW w:w="1060" w:type="dxa"/>
            <w:vAlign w:val="bottom"/>
            <w:gridSpan w:val="4"/>
          </w:tcPr>
          <w:p>
            <w:pPr>
              <w:ind w:left="100"/>
              <w:spacing w:after="0" w:line="119" w:lineRule="exact"/>
              <w:rPr>
                <w:sz w:val="20"/>
                <w:szCs w:val="20"/>
                <w:color w:val="auto"/>
              </w:rPr>
            </w:pPr>
            <w:r>
              <w:rPr>
                <w:rFonts w:ascii="Arial" w:cs="Arial" w:eastAsia="Arial" w:hAnsi="Arial"/>
                <w:sz w:val="13"/>
                <w:szCs w:val="13"/>
                <w:b w:val="1"/>
                <w:bCs w:val="1"/>
                <w:color w:val="auto"/>
              </w:rPr>
              <w:t>Stockholders’</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2880" w:type="dxa"/>
            <w:vAlign w:val="bottom"/>
          </w:tcPr>
          <w:p>
            <w:pPr>
              <w:spacing w:after="0"/>
              <w:rPr>
                <w:sz w:val="14"/>
                <w:szCs w:val="14"/>
                <w:color w:val="auto"/>
              </w:rPr>
            </w:pPr>
          </w:p>
        </w:tc>
        <w:tc>
          <w:tcPr>
            <w:tcW w:w="800" w:type="dxa"/>
            <w:vAlign w:val="bottom"/>
          </w:tcPr>
          <w:p>
            <w:pPr>
              <w:jc w:val="right"/>
              <w:ind w:right="128"/>
              <w:spacing w:after="0"/>
              <w:rPr>
                <w:sz w:val="20"/>
                <w:szCs w:val="20"/>
                <w:color w:val="auto"/>
              </w:rPr>
            </w:pPr>
            <w:r>
              <w:rPr>
                <w:rFonts w:ascii="Arial" w:cs="Arial" w:eastAsia="Arial" w:hAnsi="Arial"/>
                <w:sz w:val="14"/>
                <w:szCs w:val="14"/>
                <w:b w:val="1"/>
                <w:bCs w:val="1"/>
                <w:color w:val="auto"/>
              </w:rPr>
              <w:t>Shares</w:t>
            </w: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vMerge w:val="continue"/>
          </w:tcPr>
          <w:p>
            <w:pPr>
              <w:spacing w:after="0"/>
              <w:rPr>
                <w:sz w:val="14"/>
                <w:szCs w:val="14"/>
                <w:color w:val="auto"/>
              </w:rPr>
            </w:pPr>
          </w:p>
        </w:tc>
        <w:tc>
          <w:tcPr>
            <w:tcW w:w="180" w:type="dxa"/>
            <w:vAlign w:val="bottom"/>
          </w:tcPr>
          <w:p>
            <w:pPr>
              <w:spacing w:after="0"/>
              <w:rPr>
                <w:sz w:val="14"/>
                <w:szCs w:val="14"/>
                <w:color w:val="auto"/>
              </w:rPr>
            </w:pPr>
          </w:p>
        </w:tc>
        <w:tc>
          <w:tcPr>
            <w:tcW w:w="700" w:type="dxa"/>
            <w:vAlign w:val="bottom"/>
          </w:tcPr>
          <w:p>
            <w:pPr>
              <w:jc w:val="right"/>
              <w:ind w:right="8"/>
              <w:spacing w:after="0"/>
              <w:rPr>
                <w:sz w:val="20"/>
                <w:szCs w:val="20"/>
                <w:color w:val="auto"/>
              </w:rPr>
            </w:pPr>
            <w:r>
              <w:rPr>
                <w:rFonts w:ascii="Arial" w:cs="Arial" w:eastAsia="Arial" w:hAnsi="Arial"/>
                <w:sz w:val="14"/>
                <w:szCs w:val="14"/>
                <w:b w:val="1"/>
                <w:bCs w:val="1"/>
                <w:color w:val="auto"/>
                <w:w w:val="93"/>
              </w:rPr>
              <w:t>of Shares</w:t>
            </w:r>
          </w:p>
        </w:tc>
        <w:tc>
          <w:tcPr>
            <w:tcW w:w="800" w:type="dxa"/>
            <w:vAlign w:val="bottom"/>
            <w:gridSpan w:val="3"/>
            <w:vMerge w:val="continue"/>
          </w:tcPr>
          <w:p>
            <w:pPr>
              <w:spacing w:after="0"/>
              <w:rPr>
                <w:sz w:val="14"/>
                <w:szCs w:val="14"/>
                <w:color w:val="auto"/>
              </w:rPr>
            </w:pPr>
          </w:p>
        </w:tc>
        <w:tc>
          <w:tcPr>
            <w:tcW w:w="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20" w:type="dxa"/>
            <w:vAlign w:val="bottom"/>
            <w:gridSpan w:val="2"/>
          </w:tcPr>
          <w:p>
            <w:pPr>
              <w:jc w:val="right"/>
              <w:ind w:right="240"/>
              <w:spacing w:after="0"/>
              <w:rPr>
                <w:sz w:val="20"/>
                <w:szCs w:val="20"/>
                <w:color w:val="auto"/>
              </w:rPr>
            </w:pPr>
            <w:r>
              <w:rPr>
                <w:rFonts w:ascii="Arial" w:cs="Arial" w:eastAsia="Arial" w:hAnsi="Arial"/>
                <w:sz w:val="14"/>
                <w:szCs w:val="14"/>
                <w:b w:val="1"/>
                <w:bCs w:val="1"/>
                <w:color w:val="auto"/>
                <w:w w:val="98"/>
              </w:rPr>
              <w:t>Capital</w:t>
            </w:r>
          </w:p>
        </w:tc>
        <w:tc>
          <w:tcPr>
            <w:tcW w:w="100" w:type="dxa"/>
            <w:vAlign w:val="bottom"/>
          </w:tcPr>
          <w:p>
            <w:pPr>
              <w:spacing w:after="0"/>
              <w:rPr>
                <w:sz w:val="14"/>
                <w:szCs w:val="14"/>
                <w:color w:val="auto"/>
              </w:rPr>
            </w:pPr>
          </w:p>
        </w:tc>
        <w:tc>
          <w:tcPr>
            <w:tcW w:w="960" w:type="dxa"/>
            <w:vAlign w:val="bottom"/>
            <w:gridSpan w:val="2"/>
          </w:tcPr>
          <w:p>
            <w:pPr>
              <w:jc w:val="right"/>
              <w:ind w:right="299"/>
              <w:spacing w:after="0"/>
              <w:rPr>
                <w:sz w:val="20"/>
                <w:szCs w:val="20"/>
                <w:color w:val="auto"/>
              </w:rPr>
            </w:pPr>
            <w:r>
              <w:rPr>
                <w:rFonts w:ascii="Arial" w:cs="Arial" w:eastAsia="Arial" w:hAnsi="Arial"/>
                <w:sz w:val="14"/>
                <w:szCs w:val="14"/>
                <w:b w:val="1"/>
                <w:bCs w:val="1"/>
                <w:color w:val="auto"/>
              </w:rPr>
              <w:t>Deficit</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6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2"/>
              </w:rPr>
              <w:t>Income (Loss)</w:t>
            </w: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80" w:type="dxa"/>
            <w:vAlign w:val="bottom"/>
            <w:gridSpan w:val="2"/>
          </w:tcPr>
          <w:p>
            <w:pPr>
              <w:jc w:val="right"/>
              <w:ind w:right="179"/>
              <w:spacing w:after="0"/>
              <w:rPr>
                <w:sz w:val="20"/>
                <w:szCs w:val="20"/>
                <w:color w:val="auto"/>
              </w:rPr>
            </w:pPr>
            <w:r>
              <w:rPr>
                <w:rFonts w:ascii="Arial" w:cs="Arial" w:eastAsia="Arial" w:hAnsi="Arial"/>
                <w:sz w:val="14"/>
                <w:szCs w:val="14"/>
                <w:b w:val="1"/>
                <w:bCs w:val="1"/>
                <w:color w:val="auto"/>
                <w:w w:val="91"/>
              </w:rPr>
              <w:t>Deficiency</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880" w:type="dxa"/>
            <w:vAlign w:val="bottom"/>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Balances as of March 31, 2017</w:t>
            </w:r>
          </w:p>
        </w:tc>
        <w:tc>
          <w:tcPr>
            <w:tcW w:w="8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16,912,500</w:t>
            </w:r>
          </w:p>
        </w:tc>
        <w:tc>
          <w:tcPr>
            <w:tcW w:w="28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8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46,903,534</w:t>
            </w:r>
          </w:p>
        </w:tc>
        <w:tc>
          <w:tcPr>
            <w:tcW w:w="88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29,647,826</w:t>
            </w:r>
          </w:p>
        </w:tc>
        <w:tc>
          <w:tcPr>
            <w:tcW w:w="320" w:type="dxa"/>
            <w:vAlign w:val="bottom"/>
            <w:gridSpan w:val="2"/>
            <w:shd w:val="clear" w:color="auto" w:fill="CCEEFF"/>
          </w:tcPr>
          <w:p>
            <w:pPr>
              <w:ind w:left="180"/>
              <w:spacing w:after="0" w:line="149" w:lineRule="exact"/>
              <w:rPr>
                <w:sz w:val="20"/>
                <w:szCs w:val="20"/>
                <w:color w:val="auto"/>
              </w:rPr>
            </w:pPr>
            <w:r>
              <w:rPr>
                <w:rFonts w:ascii="Arial" w:cs="Arial" w:eastAsia="Arial" w:hAnsi="Arial"/>
                <w:sz w:val="14"/>
                <w:szCs w:val="14"/>
                <w:color w:val="auto"/>
              </w:rPr>
              <w:t>$</w:t>
            </w:r>
          </w:p>
        </w:tc>
        <w:tc>
          <w:tcPr>
            <w:tcW w:w="480" w:type="dxa"/>
            <w:vAlign w:val="bottom"/>
            <w:shd w:val="clear" w:color="auto" w:fill="CCEEFF"/>
          </w:tcPr>
          <w:p>
            <w:pPr>
              <w:ind w:left="80"/>
              <w:spacing w:after="0" w:line="149" w:lineRule="exact"/>
              <w:rPr>
                <w:sz w:val="20"/>
                <w:szCs w:val="20"/>
                <w:color w:val="auto"/>
              </w:rPr>
            </w:pPr>
            <w:r>
              <w:rPr>
                <w:rFonts w:ascii="Arial" w:cs="Arial" w:eastAsia="Arial" w:hAnsi="Arial"/>
                <w:sz w:val="14"/>
                <w:szCs w:val="14"/>
                <w:color w:val="auto"/>
                <w:w w:val="88"/>
              </w:rPr>
              <w:t>29,647</w:t>
            </w:r>
          </w:p>
        </w:tc>
        <w:tc>
          <w:tcPr>
            <w:tcW w:w="260" w:type="dxa"/>
            <w:vAlign w:val="bottom"/>
            <w:gridSpan w:val="2"/>
            <w:shd w:val="clear" w:color="auto" w:fill="CCEEFF"/>
          </w:tcPr>
          <w:p>
            <w:pPr>
              <w:ind w:left="180"/>
              <w:spacing w:after="0" w:line="149" w:lineRule="exact"/>
              <w:rPr>
                <w:sz w:val="20"/>
                <w:szCs w:val="20"/>
                <w:color w:val="auto"/>
              </w:rPr>
            </w:pPr>
            <w:r>
              <w:rPr>
                <w:rFonts w:ascii="Arial" w:cs="Arial" w:eastAsia="Arial" w:hAnsi="Arial"/>
                <w:sz w:val="14"/>
                <w:szCs w:val="14"/>
                <w:color w:val="auto"/>
                <w:w w:val="76"/>
              </w:rPr>
              <w:t>$</w:t>
            </w:r>
          </w:p>
        </w:tc>
        <w:tc>
          <w:tcPr>
            <w:tcW w:w="72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1060" w:type="dxa"/>
            <w:vAlign w:val="bottom"/>
            <w:gridSpan w:val="3"/>
            <w:shd w:val="clear" w:color="auto" w:fill="CCEEFF"/>
          </w:tcPr>
          <w:p>
            <w:pPr>
              <w:jc w:val="right"/>
              <w:ind w:right="39"/>
              <w:spacing w:after="0" w:line="149" w:lineRule="exact"/>
              <w:rPr>
                <w:sz w:val="20"/>
                <w:szCs w:val="20"/>
                <w:color w:val="auto"/>
              </w:rPr>
            </w:pPr>
            <w:r>
              <w:rPr>
                <w:rFonts w:ascii="Arial" w:cs="Arial" w:eastAsia="Arial" w:hAnsi="Arial"/>
                <w:sz w:val="14"/>
                <w:szCs w:val="14"/>
                <w:color w:val="auto"/>
              </w:rPr>
              <w:t>$ (64,789,529)</w:t>
            </w:r>
          </w:p>
        </w:tc>
        <w:tc>
          <w:tcPr>
            <w:tcW w:w="22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26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(194,242)</w:t>
            </w:r>
          </w:p>
        </w:tc>
        <w:tc>
          <w:tcPr>
            <w:tcW w:w="180" w:type="dxa"/>
            <w:vAlign w:val="bottom"/>
            <w:gridSpan w:val="2"/>
            <w:shd w:val="clear" w:color="auto" w:fill="CCEEFF"/>
          </w:tcPr>
          <w:p>
            <w:pPr>
              <w:ind w:left="100"/>
              <w:spacing w:after="0" w:line="149" w:lineRule="exact"/>
              <w:rPr>
                <w:sz w:val="20"/>
                <w:szCs w:val="20"/>
                <w:color w:val="auto"/>
              </w:rPr>
            </w:pPr>
            <w:r>
              <w:rPr>
                <w:rFonts w:ascii="Arial" w:cs="Arial" w:eastAsia="Arial" w:hAnsi="Arial"/>
                <w:sz w:val="14"/>
                <w:szCs w:val="14"/>
                <w:color w:val="auto"/>
                <w:w w:val="76"/>
              </w:rPr>
              <w:t>$</w:t>
            </w:r>
          </w:p>
        </w:tc>
        <w:tc>
          <w:tcPr>
            <w:tcW w:w="880" w:type="dxa"/>
            <w:vAlign w:val="bottom"/>
            <w:gridSpan w:val="2"/>
            <w:shd w:val="clear" w:color="auto" w:fill="CCEEFF"/>
          </w:tcPr>
          <w:p>
            <w:pPr>
              <w:jc w:val="right"/>
              <w:ind w:right="19"/>
              <w:spacing w:after="0" w:line="149" w:lineRule="exact"/>
              <w:rPr>
                <w:sz w:val="20"/>
                <w:szCs w:val="20"/>
                <w:color w:val="auto"/>
              </w:rPr>
            </w:pPr>
            <w:r>
              <w:rPr>
                <w:rFonts w:ascii="Arial" w:cs="Arial" w:eastAsia="Arial" w:hAnsi="Arial"/>
                <w:sz w:val="14"/>
                <w:szCs w:val="14"/>
                <w:color w:val="auto"/>
              </w:rPr>
              <w:t>(64,954,124)</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880" w:type="dxa"/>
            <w:vAlign w:val="bottom"/>
          </w:tcPr>
          <w:p>
            <w:pPr>
              <w:spacing w:after="0" w:line="149" w:lineRule="exact"/>
              <w:rPr>
                <w:sz w:val="20"/>
                <w:szCs w:val="20"/>
                <w:color w:val="auto"/>
              </w:rPr>
            </w:pPr>
            <w:r>
              <w:rPr>
                <w:rFonts w:ascii="Arial" w:cs="Arial" w:eastAsia="Arial" w:hAnsi="Arial"/>
                <w:sz w:val="14"/>
                <w:szCs w:val="14"/>
                <w:color w:val="auto"/>
              </w:rPr>
              <w:t>Exercise of stock options</w:t>
            </w:r>
          </w:p>
        </w:tc>
        <w:tc>
          <w:tcPr>
            <w:tcW w:w="800" w:type="dxa"/>
            <w:vAlign w:val="bottom"/>
          </w:tcPr>
          <w:p>
            <w:pPr>
              <w:jc w:val="right"/>
              <w:ind w:right="8"/>
              <w:spacing w:after="0" w:line="149" w:lineRule="exact"/>
              <w:rPr>
                <w:sz w:val="20"/>
                <w:szCs w:val="20"/>
                <w:color w:val="auto"/>
              </w:rPr>
            </w:pPr>
            <w:r>
              <w:rPr>
                <w:rFonts w:ascii="Arial" w:cs="Arial" w:eastAsia="Arial" w:hAnsi="Arial"/>
                <w:sz w:val="14"/>
                <w:szCs w:val="14"/>
                <w:color w:val="auto"/>
              </w:rPr>
              <w:t>—</w:t>
            </w: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tcPr>
          <w:p>
            <w:pPr>
              <w:jc w:val="right"/>
              <w:ind w:right="8"/>
              <w:spacing w:after="0" w:line="149" w:lineRule="exact"/>
              <w:rPr>
                <w:sz w:val="20"/>
                <w:szCs w:val="20"/>
                <w:color w:val="auto"/>
              </w:rPr>
            </w:pPr>
            <w:r>
              <w:rPr>
                <w:rFonts w:ascii="Arial" w:cs="Arial" w:eastAsia="Arial" w:hAnsi="Arial"/>
                <w:sz w:val="14"/>
                <w:szCs w:val="14"/>
                <w:color w:val="auto"/>
              </w:rPr>
              <w:t>—</w:t>
            </w:r>
          </w:p>
        </w:tc>
        <w:tc>
          <w:tcPr>
            <w:tcW w:w="88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386,334</w:t>
            </w:r>
          </w:p>
        </w:tc>
        <w:tc>
          <w:tcPr>
            <w:tcW w:w="1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80" w:type="dxa"/>
            <w:vAlign w:val="bottom"/>
          </w:tcPr>
          <w:p>
            <w:pPr>
              <w:ind w:left="260"/>
              <w:spacing w:after="0" w:line="149" w:lineRule="exact"/>
              <w:rPr>
                <w:sz w:val="20"/>
                <w:szCs w:val="20"/>
                <w:color w:val="auto"/>
              </w:rPr>
            </w:pPr>
            <w:r>
              <w:rPr>
                <w:rFonts w:ascii="Arial" w:cs="Arial" w:eastAsia="Arial" w:hAnsi="Arial"/>
                <w:sz w:val="14"/>
                <w:szCs w:val="14"/>
                <w:color w:val="auto"/>
                <w:w w:val="85"/>
              </w:rPr>
              <w:t>387</w:t>
            </w: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jc w:val="right"/>
              <w:spacing w:after="0" w:line="149" w:lineRule="exact"/>
              <w:rPr>
                <w:sz w:val="20"/>
                <w:szCs w:val="20"/>
                <w:color w:val="auto"/>
              </w:rPr>
            </w:pPr>
            <w:r>
              <w:rPr>
                <w:rFonts w:ascii="Arial" w:cs="Arial" w:eastAsia="Arial" w:hAnsi="Arial"/>
                <w:sz w:val="14"/>
                <w:szCs w:val="14"/>
                <w:color w:val="auto"/>
              </w:rPr>
              <w:t>361,829</w:t>
            </w: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60" w:type="dxa"/>
            <w:vAlign w:val="bottom"/>
            <w:gridSpan w:val="2"/>
          </w:tcPr>
          <w:p>
            <w:pPr>
              <w:jc w:val="right"/>
              <w:ind w:right="159"/>
              <w:spacing w:after="0" w:line="149"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6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80" w:type="dxa"/>
            <w:vAlign w:val="bottom"/>
          </w:tcPr>
          <w:p>
            <w:pPr>
              <w:jc w:val="right"/>
              <w:spacing w:after="0" w:line="149" w:lineRule="exact"/>
              <w:rPr>
                <w:sz w:val="20"/>
                <w:szCs w:val="20"/>
                <w:color w:val="auto"/>
              </w:rPr>
            </w:pPr>
            <w:r>
              <w:rPr>
                <w:rFonts w:ascii="Arial" w:cs="Arial" w:eastAsia="Arial" w:hAnsi="Arial"/>
                <w:sz w:val="14"/>
                <w:szCs w:val="14"/>
                <w:color w:val="auto"/>
              </w:rPr>
              <w:t>362,216</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8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Accretion of preferred stock dividends</w:t>
            </w:r>
          </w:p>
        </w:tc>
        <w:tc>
          <w:tcPr>
            <w:tcW w:w="800" w:type="dxa"/>
            <w:vAlign w:val="bottom"/>
            <w:shd w:val="clear" w:color="auto" w:fill="CCEEFF"/>
          </w:tcPr>
          <w:p>
            <w:pPr>
              <w:jc w:val="right"/>
              <w:ind w:right="8"/>
              <w:spacing w:after="0" w:line="149" w:lineRule="exact"/>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6,721,988</w:t>
            </w:r>
          </w:p>
        </w:tc>
        <w:tc>
          <w:tcPr>
            <w:tcW w:w="180" w:type="dxa"/>
            <w:vAlign w:val="bottom"/>
            <w:shd w:val="clear" w:color="auto" w:fill="CCEEFF"/>
          </w:tcPr>
          <w:p>
            <w:pPr>
              <w:spacing w:after="0"/>
              <w:rPr>
                <w:sz w:val="12"/>
                <w:szCs w:val="12"/>
                <w:color w:val="auto"/>
              </w:rPr>
            </w:pPr>
          </w:p>
        </w:tc>
        <w:tc>
          <w:tcPr>
            <w:tcW w:w="700" w:type="dxa"/>
            <w:vAlign w:val="bottom"/>
            <w:shd w:val="clear" w:color="auto" w:fill="CCEEFF"/>
          </w:tcPr>
          <w:p>
            <w:pPr>
              <w:jc w:val="right"/>
              <w:ind w:right="8"/>
              <w:spacing w:after="0" w:line="149" w:lineRule="exact"/>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480" w:type="dxa"/>
            <w:vAlign w:val="bottom"/>
            <w:shd w:val="clear" w:color="auto" w:fill="CCEEFF"/>
          </w:tcPr>
          <w:p>
            <w:pPr>
              <w:ind w:left="260"/>
              <w:spacing w:after="0" w:line="149" w:lineRule="exact"/>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(670,543)</w:t>
            </w:r>
          </w:p>
        </w:tc>
        <w:tc>
          <w:tcPr>
            <w:tcW w:w="1060" w:type="dxa"/>
            <w:vAlign w:val="bottom"/>
            <w:gridSpan w:val="3"/>
            <w:shd w:val="clear" w:color="auto" w:fill="CCEEFF"/>
          </w:tcPr>
          <w:p>
            <w:pPr>
              <w:jc w:val="right"/>
              <w:ind w:right="39"/>
              <w:spacing w:after="0" w:line="149" w:lineRule="exact"/>
              <w:rPr>
                <w:sz w:val="20"/>
                <w:szCs w:val="20"/>
                <w:color w:val="auto"/>
              </w:rPr>
            </w:pPr>
            <w:r>
              <w:rPr>
                <w:rFonts w:ascii="Arial" w:cs="Arial" w:eastAsia="Arial" w:hAnsi="Arial"/>
                <w:sz w:val="14"/>
                <w:szCs w:val="14"/>
                <w:color w:val="auto"/>
              </w:rPr>
              <w:t>(6,051,445)</w:t>
            </w: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6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80" w:type="dxa"/>
            <w:vAlign w:val="bottom"/>
            <w:gridSpan w:val="2"/>
            <w:shd w:val="clear" w:color="auto" w:fill="CCEEFF"/>
          </w:tcPr>
          <w:p>
            <w:pPr>
              <w:jc w:val="right"/>
              <w:ind w:right="19"/>
              <w:spacing w:after="0" w:line="149" w:lineRule="exact"/>
              <w:rPr>
                <w:sz w:val="20"/>
                <w:szCs w:val="20"/>
                <w:color w:val="auto"/>
              </w:rPr>
            </w:pPr>
            <w:r>
              <w:rPr>
                <w:rFonts w:ascii="Arial" w:cs="Arial" w:eastAsia="Arial" w:hAnsi="Arial"/>
                <w:sz w:val="14"/>
                <w:szCs w:val="14"/>
                <w:color w:val="auto"/>
              </w:rPr>
              <w:t>(6,721,988)</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880" w:type="dxa"/>
            <w:vAlign w:val="bottom"/>
          </w:tcPr>
          <w:p>
            <w:pPr>
              <w:spacing w:after="0" w:line="149" w:lineRule="exact"/>
              <w:rPr>
                <w:sz w:val="20"/>
                <w:szCs w:val="20"/>
                <w:color w:val="auto"/>
              </w:rPr>
            </w:pPr>
            <w:r>
              <w:rPr>
                <w:rFonts w:ascii="Arial" w:cs="Arial" w:eastAsia="Arial" w:hAnsi="Arial"/>
                <w:sz w:val="14"/>
                <w:szCs w:val="14"/>
                <w:color w:val="auto"/>
              </w:rPr>
              <w:t>Accretion of preferred stock offering costs</w:t>
            </w:r>
          </w:p>
        </w:tc>
        <w:tc>
          <w:tcPr>
            <w:tcW w:w="800" w:type="dxa"/>
            <w:vAlign w:val="bottom"/>
          </w:tcPr>
          <w:p>
            <w:pPr>
              <w:jc w:val="right"/>
              <w:ind w:right="8"/>
              <w:spacing w:after="0" w:line="149" w:lineRule="exact"/>
              <w:rPr>
                <w:sz w:val="20"/>
                <w:szCs w:val="20"/>
                <w:color w:val="auto"/>
              </w:rPr>
            </w:pPr>
            <w:r>
              <w:rPr>
                <w:rFonts w:ascii="Arial" w:cs="Arial" w:eastAsia="Arial" w:hAnsi="Arial"/>
                <w:sz w:val="14"/>
                <w:szCs w:val="14"/>
                <w:color w:val="auto"/>
              </w:rPr>
              <w:t>—</w:t>
            </w: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tcPr>
          <w:p>
            <w:pPr>
              <w:jc w:val="right"/>
              <w:spacing w:after="0" w:line="149" w:lineRule="exact"/>
              <w:rPr>
                <w:sz w:val="20"/>
                <w:szCs w:val="20"/>
                <w:color w:val="auto"/>
              </w:rPr>
            </w:pPr>
            <w:r>
              <w:rPr>
                <w:rFonts w:ascii="Arial" w:cs="Arial" w:eastAsia="Arial" w:hAnsi="Arial"/>
                <w:sz w:val="14"/>
                <w:szCs w:val="14"/>
                <w:color w:val="auto"/>
              </w:rPr>
              <w:t>99,138</w:t>
            </w:r>
          </w:p>
        </w:tc>
        <w:tc>
          <w:tcPr>
            <w:tcW w:w="180" w:type="dxa"/>
            <w:vAlign w:val="bottom"/>
          </w:tcPr>
          <w:p>
            <w:pPr>
              <w:spacing w:after="0"/>
              <w:rPr>
                <w:sz w:val="12"/>
                <w:szCs w:val="12"/>
                <w:color w:val="auto"/>
              </w:rPr>
            </w:pPr>
          </w:p>
        </w:tc>
        <w:tc>
          <w:tcPr>
            <w:tcW w:w="700" w:type="dxa"/>
            <w:vAlign w:val="bottom"/>
          </w:tcPr>
          <w:p>
            <w:pPr>
              <w:jc w:val="right"/>
              <w:ind w:right="8"/>
              <w:spacing w:after="0" w:line="149" w:lineRule="exact"/>
              <w:rPr>
                <w:sz w:val="20"/>
                <w:szCs w:val="20"/>
                <w:color w:val="auto"/>
              </w:rPr>
            </w:pPr>
            <w:r>
              <w:rPr>
                <w:rFonts w:ascii="Arial" w:cs="Arial" w:eastAsia="Arial" w:hAnsi="Arial"/>
                <w:sz w:val="14"/>
                <w:szCs w:val="14"/>
                <w:color w:val="auto"/>
              </w:rPr>
              <w:t>—</w:t>
            </w:r>
          </w:p>
        </w:tc>
        <w:tc>
          <w:tcPr>
            <w:tcW w:w="1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80" w:type="dxa"/>
            <w:vAlign w:val="bottom"/>
          </w:tcPr>
          <w:p>
            <w:pPr>
              <w:ind w:left="260"/>
              <w:spacing w:after="0" w:line="149" w:lineRule="exact"/>
              <w:rPr>
                <w:sz w:val="20"/>
                <w:szCs w:val="20"/>
                <w:color w:val="auto"/>
              </w:rPr>
            </w:pPr>
            <w:r>
              <w:rPr>
                <w:rFonts w:ascii="Arial" w:cs="Arial" w:eastAsia="Arial" w:hAnsi="Arial"/>
                <w:sz w:val="14"/>
                <w:szCs w:val="14"/>
                <w:color w:val="auto"/>
              </w:rPr>
              <w:t>—</w:t>
            </w: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1060" w:type="dxa"/>
            <w:vAlign w:val="bottom"/>
            <w:gridSpan w:val="3"/>
          </w:tcPr>
          <w:p>
            <w:pPr>
              <w:jc w:val="right"/>
              <w:ind w:right="39"/>
              <w:spacing w:after="0" w:line="149" w:lineRule="exact"/>
              <w:rPr>
                <w:sz w:val="20"/>
                <w:szCs w:val="20"/>
                <w:color w:val="auto"/>
              </w:rPr>
            </w:pPr>
            <w:r>
              <w:rPr>
                <w:rFonts w:ascii="Arial" w:cs="Arial" w:eastAsia="Arial" w:hAnsi="Arial"/>
                <w:sz w:val="14"/>
                <w:szCs w:val="14"/>
                <w:color w:val="auto"/>
              </w:rPr>
              <w:t>(99,138)</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6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80" w:type="dxa"/>
            <w:vAlign w:val="bottom"/>
            <w:gridSpan w:val="2"/>
          </w:tcPr>
          <w:p>
            <w:pPr>
              <w:jc w:val="right"/>
              <w:ind w:right="19"/>
              <w:spacing w:after="0" w:line="149" w:lineRule="exact"/>
              <w:rPr>
                <w:sz w:val="20"/>
                <w:szCs w:val="20"/>
                <w:color w:val="auto"/>
              </w:rPr>
            </w:pPr>
            <w:r>
              <w:rPr>
                <w:rFonts w:ascii="Arial" w:cs="Arial" w:eastAsia="Arial" w:hAnsi="Arial"/>
                <w:sz w:val="14"/>
                <w:szCs w:val="14"/>
                <w:color w:val="auto"/>
              </w:rPr>
              <w:t>(99,138)</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8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Stock-based compensation expense</w:t>
            </w:r>
          </w:p>
        </w:tc>
        <w:tc>
          <w:tcPr>
            <w:tcW w:w="800" w:type="dxa"/>
            <w:vAlign w:val="bottom"/>
            <w:shd w:val="clear" w:color="auto" w:fill="CCEEFF"/>
          </w:tcPr>
          <w:p>
            <w:pPr>
              <w:jc w:val="right"/>
              <w:ind w:right="8"/>
              <w:spacing w:after="0" w:line="149" w:lineRule="exact"/>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0" w:type="dxa"/>
            <w:vAlign w:val="bottom"/>
            <w:shd w:val="clear" w:color="auto" w:fill="CCEEFF"/>
          </w:tcPr>
          <w:p>
            <w:pPr>
              <w:jc w:val="right"/>
              <w:ind w:right="8"/>
              <w:spacing w:after="0" w:line="149" w:lineRule="exact"/>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2"/>
                <w:szCs w:val="12"/>
                <w:color w:val="auto"/>
              </w:rPr>
            </w:pPr>
          </w:p>
        </w:tc>
        <w:tc>
          <w:tcPr>
            <w:tcW w:w="700" w:type="dxa"/>
            <w:vAlign w:val="bottom"/>
            <w:shd w:val="clear" w:color="auto" w:fill="CCEEFF"/>
          </w:tcPr>
          <w:p>
            <w:pPr>
              <w:jc w:val="right"/>
              <w:ind w:right="8"/>
              <w:spacing w:after="0" w:line="149" w:lineRule="exact"/>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480" w:type="dxa"/>
            <w:vAlign w:val="bottom"/>
            <w:shd w:val="clear" w:color="auto" w:fill="CCEEFF"/>
          </w:tcPr>
          <w:p>
            <w:pPr>
              <w:ind w:left="260"/>
              <w:spacing w:after="0" w:line="149" w:lineRule="exact"/>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308,714</w:t>
            </w:r>
          </w:p>
        </w:tc>
        <w:tc>
          <w:tcPr>
            <w:tcW w:w="1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960" w:type="dxa"/>
            <w:vAlign w:val="bottom"/>
            <w:gridSpan w:val="2"/>
            <w:shd w:val="clear" w:color="auto" w:fill="CCEEFF"/>
          </w:tcPr>
          <w:p>
            <w:pPr>
              <w:jc w:val="right"/>
              <w:ind w:right="159"/>
              <w:spacing w:after="0" w:line="149" w:lineRule="exact"/>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6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308,714</w:t>
            </w: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880" w:type="dxa"/>
            <w:vAlign w:val="bottom"/>
          </w:tcPr>
          <w:p>
            <w:pPr>
              <w:spacing w:after="0" w:line="149" w:lineRule="exact"/>
              <w:rPr>
                <w:sz w:val="20"/>
                <w:szCs w:val="20"/>
                <w:color w:val="auto"/>
              </w:rPr>
            </w:pPr>
            <w:r>
              <w:rPr>
                <w:rFonts w:ascii="Arial" w:cs="Arial" w:eastAsia="Arial" w:hAnsi="Arial"/>
                <w:sz w:val="14"/>
                <w:szCs w:val="14"/>
                <w:color w:val="auto"/>
              </w:rPr>
              <w:t>Effect of translation adjustments</w:t>
            </w:r>
          </w:p>
        </w:tc>
        <w:tc>
          <w:tcPr>
            <w:tcW w:w="800" w:type="dxa"/>
            <w:vAlign w:val="bottom"/>
          </w:tcPr>
          <w:p>
            <w:pPr>
              <w:jc w:val="right"/>
              <w:ind w:right="8"/>
              <w:spacing w:after="0" w:line="149" w:lineRule="exact"/>
              <w:rPr>
                <w:sz w:val="20"/>
                <w:szCs w:val="20"/>
                <w:color w:val="auto"/>
              </w:rPr>
            </w:pPr>
            <w:r>
              <w:rPr>
                <w:rFonts w:ascii="Arial" w:cs="Arial" w:eastAsia="Arial" w:hAnsi="Arial"/>
                <w:sz w:val="14"/>
                <w:szCs w:val="14"/>
                <w:color w:val="auto"/>
              </w:rPr>
              <w:t>—</w:t>
            </w: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tcPr>
          <w:p>
            <w:pPr>
              <w:jc w:val="right"/>
              <w:ind w:right="8"/>
              <w:spacing w:after="0" w:line="149" w:lineRule="exact"/>
              <w:rPr>
                <w:sz w:val="20"/>
                <w:szCs w:val="20"/>
                <w:color w:val="auto"/>
              </w:rPr>
            </w:pPr>
            <w:r>
              <w:rPr>
                <w:rFonts w:ascii="Arial" w:cs="Arial" w:eastAsia="Arial" w:hAnsi="Arial"/>
                <w:sz w:val="14"/>
                <w:szCs w:val="14"/>
                <w:color w:val="auto"/>
              </w:rPr>
              <w:t>—</w:t>
            </w:r>
          </w:p>
        </w:tc>
        <w:tc>
          <w:tcPr>
            <w:tcW w:w="180" w:type="dxa"/>
            <w:vAlign w:val="bottom"/>
          </w:tcPr>
          <w:p>
            <w:pPr>
              <w:spacing w:after="0"/>
              <w:rPr>
                <w:sz w:val="12"/>
                <w:szCs w:val="12"/>
                <w:color w:val="auto"/>
              </w:rPr>
            </w:pPr>
          </w:p>
        </w:tc>
        <w:tc>
          <w:tcPr>
            <w:tcW w:w="700" w:type="dxa"/>
            <w:vAlign w:val="bottom"/>
          </w:tcPr>
          <w:p>
            <w:pPr>
              <w:jc w:val="right"/>
              <w:ind w:right="8"/>
              <w:spacing w:after="0" w:line="149" w:lineRule="exact"/>
              <w:rPr>
                <w:sz w:val="20"/>
                <w:szCs w:val="20"/>
                <w:color w:val="auto"/>
              </w:rPr>
            </w:pPr>
            <w:r>
              <w:rPr>
                <w:rFonts w:ascii="Arial" w:cs="Arial" w:eastAsia="Arial" w:hAnsi="Arial"/>
                <w:sz w:val="14"/>
                <w:szCs w:val="14"/>
                <w:color w:val="auto"/>
              </w:rPr>
              <w:t>—</w:t>
            </w:r>
          </w:p>
        </w:tc>
        <w:tc>
          <w:tcPr>
            <w:tcW w:w="1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80" w:type="dxa"/>
            <w:vAlign w:val="bottom"/>
          </w:tcPr>
          <w:p>
            <w:pPr>
              <w:ind w:left="260"/>
              <w:spacing w:after="0" w:line="149" w:lineRule="exact"/>
              <w:rPr>
                <w:sz w:val="20"/>
                <w:szCs w:val="20"/>
                <w:color w:val="auto"/>
              </w:rPr>
            </w:pPr>
            <w:r>
              <w:rPr>
                <w:rFonts w:ascii="Arial" w:cs="Arial" w:eastAsia="Arial" w:hAnsi="Arial"/>
                <w:sz w:val="14"/>
                <w:szCs w:val="14"/>
                <w:color w:val="auto"/>
              </w:rPr>
              <w:t>—</w:t>
            </w: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960" w:type="dxa"/>
            <w:vAlign w:val="bottom"/>
            <w:gridSpan w:val="2"/>
          </w:tcPr>
          <w:p>
            <w:pPr>
              <w:jc w:val="right"/>
              <w:ind w:right="159"/>
              <w:spacing w:after="0" w:line="149"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20" w:type="dxa"/>
            <w:vAlign w:val="bottom"/>
          </w:tcPr>
          <w:p>
            <w:pPr>
              <w:jc w:val="right"/>
              <w:spacing w:after="0" w:line="149" w:lineRule="exact"/>
              <w:rPr>
                <w:sz w:val="20"/>
                <w:szCs w:val="20"/>
                <w:color w:val="auto"/>
              </w:rPr>
            </w:pPr>
            <w:r>
              <w:rPr>
                <w:rFonts w:ascii="Arial" w:cs="Arial" w:eastAsia="Arial" w:hAnsi="Arial"/>
                <w:sz w:val="14"/>
                <w:szCs w:val="14"/>
                <w:color w:val="auto"/>
              </w:rPr>
              <w:t>12,985</w:t>
            </w: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80" w:type="dxa"/>
            <w:vAlign w:val="bottom"/>
          </w:tcPr>
          <w:p>
            <w:pPr>
              <w:jc w:val="right"/>
              <w:spacing w:after="0" w:line="149" w:lineRule="exact"/>
              <w:rPr>
                <w:sz w:val="20"/>
                <w:szCs w:val="20"/>
                <w:color w:val="auto"/>
              </w:rPr>
            </w:pPr>
            <w:r>
              <w:rPr>
                <w:rFonts w:ascii="Arial" w:cs="Arial" w:eastAsia="Arial" w:hAnsi="Arial"/>
                <w:sz w:val="14"/>
                <w:szCs w:val="14"/>
                <w:color w:val="auto"/>
              </w:rPr>
              <w:t>12,985</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8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Net loss</w:t>
            </w:r>
          </w:p>
        </w:tc>
        <w:tc>
          <w:tcPr>
            <w:tcW w:w="800" w:type="dxa"/>
            <w:vAlign w:val="bottom"/>
            <w:shd w:val="clear" w:color="auto" w:fill="CCEEFF"/>
          </w:tcPr>
          <w:p>
            <w:pPr>
              <w:jc w:val="right"/>
              <w:ind w:right="8"/>
              <w:spacing w:after="0" w:line="149" w:lineRule="exact"/>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0" w:type="dxa"/>
            <w:vAlign w:val="bottom"/>
            <w:shd w:val="clear" w:color="auto" w:fill="CCEEFF"/>
          </w:tcPr>
          <w:p>
            <w:pPr>
              <w:jc w:val="right"/>
              <w:ind w:right="8"/>
              <w:spacing w:after="0" w:line="149" w:lineRule="exact"/>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2"/>
                <w:szCs w:val="12"/>
                <w:color w:val="auto"/>
              </w:rPr>
            </w:pPr>
          </w:p>
        </w:tc>
        <w:tc>
          <w:tcPr>
            <w:tcW w:w="700" w:type="dxa"/>
            <w:vAlign w:val="bottom"/>
            <w:shd w:val="clear" w:color="auto" w:fill="CCEEFF"/>
          </w:tcPr>
          <w:p>
            <w:pPr>
              <w:jc w:val="right"/>
              <w:ind w:right="8"/>
              <w:spacing w:after="0" w:line="149" w:lineRule="exact"/>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480" w:type="dxa"/>
            <w:vAlign w:val="bottom"/>
            <w:shd w:val="clear" w:color="auto" w:fill="CCEEFF"/>
          </w:tcPr>
          <w:p>
            <w:pPr>
              <w:ind w:left="260"/>
              <w:spacing w:after="0" w:line="149" w:lineRule="exact"/>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94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463,806</w:t>
            </w:r>
          </w:p>
        </w:tc>
        <w:tc>
          <w:tcPr>
            <w:tcW w:w="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6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463,806</w:t>
            </w: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56"/>
        </w:trPr>
        <w:tc>
          <w:tcPr>
            <w:tcW w:w="2900" w:type="dxa"/>
            <w:vAlign w:val="bottom"/>
            <w:gridSpan w:val="2"/>
          </w:tcPr>
          <w:p>
            <w:pPr>
              <w:spacing w:after="0" w:line="155" w:lineRule="exact"/>
              <w:rPr>
                <w:sz w:val="20"/>
                <w:szCs w:val="20"/>
                <w:color w:val="auto"/>
              </w:rPr>
            </w:pPr>
            <w:r>
              <w:rPr>
                <w:rFonts w:ascii="Arial" w:cs="Arial" w:eastAsia="Arial" w:hAnsi="Arial"/>
                <w:sz w:val="14"/>
                <w:szCs w:val="14"/>
                <w:b w:val="1"/>
                <w:bCs w:val="1"/>
                <w:color w:val="auto"/>
              </w:rPr>
              <w:t>Balances as of December 31, 2017</w:t>
            </w:r>
          </w:p>
        </w:tc>
        <w:tc>
          <w:tcPr>
            <w:tcW w:w="80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16,912,500</w:t>
            </w:r>
          </w:p>
        </w:tc>
        <w:tc>
          <w:tcPr>
            <w:tcW w:w="180" w:type="dxa"/>
            <w:vAlign w:val="bottom"/>
          </w:tcPr>
          <w:p>
            <w:pPr>
              <w:spacing w:after="0"/>
              <w:rPr>
                <w:sz w:val="13"/>
                <w:szCs w:val="13"/>
                <w:color w:val="auto"/>
              </w:rPr>
            </w:pPr>
          </w:p>
        </w:tc>
        <w:tc>
          <w:tcPr>
            <w:tcW w:w="10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w w:val="76"/>
              </w:rPr>
              <w:t>$</w:t>
            </w:r>
          </w:p>
        </w:tc>
        <w:tc>
          <w:tcPr>
            <w:tcW w:w="80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53,724,660</w:t>
            </w:r>
          </w:p>
        </w:tc>
        <w:tc>
          <w:tcPr>
            <w:tcW w:w="180" w:type="dxa"/>
            <w:vAlign w:val="bottom"/>
          </w:tcPr>
          <w:p>
            <w:pPr>
              <w:spacing w:after="0"/>
              <w:rPr>
                <w:sz w:val="13"/>
                <w:szCs w:val="13"/>
                <w:color w:val="auto"/>
              </w:rPr>
            </w:pPr>
          </w:p>
        </w:tc>
        <w:tc>
          <w:tcPr>
            <w:tcW w:w="70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w w:val="94"/>
              </w:rPr>
              <w:t>30,034,160</w:t>
            </w:r>
          </w:p>
        </w:tc>
        <w:tc>
          <w:tcPr>
            <w:tcW w:w="180" w:type="dxa"/>
            <w:vAlign w:val="bottom"/>
          </w:tcPr>
          <w:p>
            <w:pPr>
              <w:spacing w:after="0"/>
              <w:rPr>
                <w:sz w:val="13"/>
                <w:szCs w:val="13"/>
                <w:color w:val="auto"/>
              </w:rPr>
            </w:pPr>
          </w:p>
        </w:tc>
        <w:tc>
          <w:tcPr>
            <w:tcW w:w="140" w:type="dxa"/>
            <w:vAlign w:val="bottom"/>
            <w:tcBorders>
              <w:top w:val="single" w:sz="8" w:color="auto"/>
              <w:bottom w:val="single" w:sz="8" w:color="auto"/>
            </w:tcBorders>
          </w:tcPr>
          <w:p>
            <w:pPr>
              <w:spacing w:after="0" w:line="155" w:lineRule="exact"/>
              <w:rPr>
                <w:sz w:val="20"/>
                <w:szCs w:val="20"/>
                <w:color w:val="auto"/>
              </w:rPr>
            </w:pPr>
            <w:r>
              <w:rPr>
                <w:rFonts w:ascii="Arial" w:cs="Arial" w:eastAsia="Arial" w:hAnsi="Arial"/>
                <w:sz w:val="14"/>
                <w:szCs w:val="14"/>
                <w:color w:val="auto"/>
              </w:rPr>
              <w:t>$</w:t>
            </w:r>
          </w:p>
        </w:tc>
        <w:tc>
          <w:tcPr>
            <w:tcW w:w="480" w:type="dxa"/>
            <w:vAlign w:val="bottom"/>
            <w:tcBorders>
              <w:top w:val="single" w:sz="8" w:color="auto"/>
              <w:bottom w:val="single" w:sz="8" w:color="auto"/>
            </w:tcBorders>
          </w:tcPr>
          <w:p>
            <w:pPr>
              <w:ind w:left="80"/>
              <w:spacing w:after="0" w:line="155" w:lineRule="exact"/>
              <w:rPr>
                <w:sz w:val="20"/>
                <w:szCs w:val="20"/>
                <w:color w:val="auto"/>
              </w:rPr>
            </w:pPr>
            <w:r>
              <w:rPr>
                <w:rFonts w:ascii="Arial" w:cs="Arial" w:eastAsia="Arial" w:hAnsi="Arial"/>
                <w:sz w:val="14"/>
                <w:szCs w:val="14"/>
                <w:color w:val="auto"/>
                <w:w w:val="88"/>
              </w:rPr>
              <w:t>30,034</w:t>
            </w:r>
          </w:p>
        </w:tc>
        <w:tc>
          <w:tcPr>
            <w:tcW w:w="180" w:type="dxa"/>
            <w:vAlign w:val="bottom"/>
          </w:tcPr>
          <w:p>
            <w:pPr>
              <w:spacing w:after="0"/>
              <w:rPr>
                <w:sz w:val="13"/>
                <w:szCs w:val="13"/>
                <w:color w:val="auto"/>
              </w:rPr>
            </w:pPr>
          </w:p>
        </w:tc>
        <w:tc>
          <w:tcPr>
            <w:tcW w:w="80" w:type="dxa"/>
            <w:vAlign w:val="bottom"/>
            <w:tcBorders>
              <w:top w:val="single" w:sz="8" w:color="auto"/>
              <w:bottom w:val="single" w:sz="8" w:color="auto"/>
            </w:tcBorders>
          </w:tcPr>
          <w:p>
            <w:pPr>
              <w:spacing w:after="0" w:line="155" w:lineRule="exact"/>
              <w:rPr>
                <w:sz w:val="20"/>
                <w:szCs w:val="20"/>
                <w:color w:val="auto"/>
              </w:rPr>
            </w:pPr>
            <w:r>
              <w:rPr>
                <w:rFonts w:ascii="Arial" w:cs="Arial" w:eastAsia="Arial" w:hAnsi="Arial"/>
                <w:sz w:val="14"/>
                <w:szCs w:val="14"/>
                <w:color w:val="auto"/>
                <w:w w:val="76"/>
              </w:rPr>
              <w:t>$</w:t>
            </w:r>
          </w:p>
        </w:tc>
        <w:tc>
          <w:tcPr>
            <w:tcW w:w="580" w:type="dxa"/>
            <w:vAlign w:val="bottom"/>
            <w:tcBorders>
              <w:top w:val="single" w:sz="8" w:color="auto"/>
              <w:bottom w:val="single" w:sz="8" w:color="auto"/>
            </w:tcBorders>
          </w:tcPr>
          <w:p>
            <w:pPr>
              <w:jc w:val="right"/>
              <w:ind w:right="8"/>
              <w:spacing w:after="0" w:line="155" w:lineRule="exact"/>
              <w:rPr>
                <w:sz w:val="20"/>
                <w:szCs w:val="20"/>
                <w:color w:val="auto"/>
              </w:rPr>
            </w:pPr>
            <w:r>
              <w:rPr>
                <w:rFonts w:ascii="Arial" w:cs="Arial" w:eastAsia="Arial" w:hAnsi="Arial"/>
                <w:sz w:val="14"/>
                <w:szCs w:val="14"/>
                <w:color w:val="auto"/>
              </w:rPr>
              <w:t>—</w:t>
            </w: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4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w w:val="92"/>
              </w:rPr>
              <w:t>$ (70,476,306</w:t>
            </w:r>
          </w:p>
        </w:tc>
        <w:tc>
          <w:tcPr>
            <w:tcW w:w="120" w:type="dxa"/>
            <w:vAlign w:val="bottom"/>
          </w:tcPr>
          <w:p>
            <w:pPr>
              <w:jc w:val="right"/>
              <w:ind w:right="39"/>
              <w:spacing w:after="0"/>
              <w:rPr>
                <w:sz w:val="20"/>
                <w:szCs w:val="20"/>
                <w:color w:val="auto"/>
              </w:rPr>
            </w:pPr>
            <w:r>
              <w:rPr>
                <w:rFonts w:ascii="Arial" w:cs="Arial" w:eastAsia="Arial" w:hAnsi="Arial"/>
                <w:sz w:val="8"/>
                <w:szCs w:val="8"/>
                <w:color w:val="auto"/>
                <w:w w:val="73"/>
              </w:rPr>
              <w:t>)</w:t>
            </w:r>
          </w:p>
        </w:tc>
        <w:tc>
          <w:tcPr>
            <w:tcW w:w="120" w:type="dxa"/>
            <w:vAlign w:val="bottom"/>
          </w:tcPr>
          <w:p>
            <w:pPr>
              <w:spacing w:after="0"/>
              <w:rPr>
                <w:sz w:val="13"/>
                <w:szCs w:val="13"/>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112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(181,257)</w:t>
            </w: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 w:type="dxa"/>
            <w:vAlign w:val="bottom"/>
            <w:tcBorders>
              <w:top w:val="single" w:sz="8" w:color="auto"/>
              <w:bottom w:val="single" w:sz="8" w:color="auto"/>
            </w:tcBorders>
          </w:tcPr>
          <w:p>
            <w:pPr>
              <w:spacing w:after="0" w:line="155" w:lineRule="exact"/>
              <w:rPr>
                <w:sz w:val="20"/>
                <w:szCs w:val="20"/>
                <w:color w:val="auto"/>
              </w:rPr>
            </w:pPr>
            <w:r>
              <w:rPr>
                <w:rFonts w:ascii="Arial" w:cs="Arial" w:eastAsia="Arial" w:hAnsi="Arial"/>
                <w:sz w:val="14"/>
                <w:szCs w:val="14"/>
                <w:color w:val="auto"/>
                <w:w w:val="76"/>
              </w:rPr>
              <w:t>$</w:t>
            </w:r>
          </w:p>
        </w:tc>
        <w:tc>
          <w:tcPr>
            <w:tcW w:w="78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w w:val="98"/>
              </w:rPr>
              <w:t>(70,627,529</w:t>
            </w:r>
          </w:p>
        </w:tc>
        <w:tc>
          <w:tcPr>
            <w:tcW w:w="100" w:type="dxa"/>
            <w:vAlign w:val="bottom"/>
          </w:tcPr>
          <w:p>
            <w:pPr>
              <w:jc w:val="right"/>
              <w:ind w:right="19"/>
              <w:spacing w:after="0"/>
              <w:rPr>
                <w:sz w:val="20"/>
                <w:szCs w:val="20"/>
                <w:color w:val="auto"/>
              </w:rPr>
            </w:pPr>
            <w:r>
              <w:rPr>
                <w:rFonts w:ascii="Arial" w:cs="Arial" w:eastAsia="Arial" w:hAnsi="Arial"/>
                <w:sz w:val="8"/>
                <w:szCs w:val="8"/>
                <w:color w:val="auto"/>
                <w:w w:val="73"/>
              </w:rPr>
              <w: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88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20" w:type="dxa"/>
            <w:vAlign w:val="bottom"/>
            <w:vMerge w:val="restart"/>
          </w:tcPr>
          <w:p>
            <w:pPr>
              <w:spacing w:after="0"/>
              <w:rPr>
                <w:sz w:val="24"/>
                <w:szCs w:val="24"/>
                <w:color w:val="auto"/>
              </w:rPr>
            </w:pPr>
          </w:p>
        </w:tc>
        <w:tc>
          <w:tcPr>
            <w:tcW w:w="28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2880" w:type="dxa"/>
            <w:vAlign w:val="bottom"/>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Balances as of March 31, 2018</w:t>
            </w:r>
          </w:p>
        </w:tc>
        <w:tc>
          <w:tcPr>
            <w:tcW w:w="8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16,912,500</w:t>
            </w:r>
          </w:p>
        </w:tc>
        <w:tc>
          <w:tcPr>
            <w:tcW w:w="28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8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55,998,368</w:t>
            </w:r>
          </w:p>
        </w:tc>
        <w:tc>
          <w:tcPr>
            <w:tcW w:w="88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30,352,784</w:t>
            </w:r>
          </w:p>
        </w:tc>
        <w:tc>
          <w:tcPr>
            <w:tcW w:w="320" w:type="dxa"/>
            <w:vAlign w:val="bottom"/>
            <w:gridSpan w:val="2"/>
            <w:shd w:val="clear" w:color="auto" w:fill="CCEEFF"/>
          </w:tcPr>
          <w:p>
            <w:pPr>
              <w:ind w:left="180"/>
              <w:spacing w:after="0" w:line="149" w:lineRule="exact"/>
              <w:rPr>
                <w:sz w:val="20"/>
                <w:szCs w:val="20"/>
                <w:color w:val="auto"/>
              </w:rPr>
            </w:pPr>
            <w:r>
              <w:rPr>
                <w:rFonts w:ascii="Arial" w:cs="Arial" w:eastAsia="Arial" w:hAnsi="Arial"/>
                <w:sz w:val="14"/>
                <w:szCs w:val="14"/>
                <w:color w:val="auto"/>
              </w:rPr>
              <w:t>$</w:t>
            </w:r>
          </w:p>
        </w:tc>
        <w:tc>
          <w:tcPr>
            <w:tcW w:w="480" w:type="dxa"/>
            <w:vAlign w:val="bottom"/>
            <w:shd w:val="clear" w:color="auto" w:fill="CCEEFF"/>
          </w:tcPr>
          <w:p>
            <w:pPr>
              <w:ind w:left="80"/>
              <w:spacing w:after="0" w:line="149" w:lineRule="exact"/>
              <w:rPr>
                <w:sz w:val="20"/>
                <w:szCs w:val="20"/>
                <w:color w:val="auto"/>
              </w:rPr>
            </w:pPr>
            <w:r>
              <w:rPr>
                <w:rFonts w:ascii="Arial" w:cs="Arial" w:eastAsia="Arial" w:hAnsi="Arial"/>
                <w:sz w:val="14"/>
                <w:szCs w:val="14"/>
                <w:color w:val="auto"/>
                <w:w w:val="88"/>
              </w:rPr>
              <w:t>30,352</w:t>
            </w:r>
          </w:p>
        </w:tc>
        <w:tc>
          <w:tcPr>
            <w:tcW w:w="260" w:type="dxa"/>
            <w:vAlign w:val="bottom"/>
            <w:gridSpan w:val="2"/>
            <w:shd w:val="clear" w:color="auto" w:fill="CCEEFF"/>
          </w:tcPr>
          <w:p>
            <w:pPr>
              <w:ind w:left="180"/>
              <w:spacing w:after="0" w:line="149" w:lineRule="exact"/>
              <w:rPr>
                <w:sz w:val="20"/>
                <w:szCs w:val="20"/>
                <w:color w:val="auto"/>
              </w:rPr>
            </w:pPr>
            <w:r>
              <w:rPr>
                <w:rFonts w:ascii="Arial" w:cs="Arial" w:eastAsia="Arial" w:hAnsi="Arial"/>
                <w:sz w:val="14"/>
                <w:szCs w:val="14"/>
                <w:color w:val="auto"/>
                <w:w w:val="76"/>
              </w:rPr>
              <w:t>$</w:t>
            </w:r>
          </w:p>
        </w:tc>
        <w:tc>
          <w:tcPr>
            <w:tcW w:w="72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1060" w:type="dxa"/>
            <w:vAlign w:val="bottom"/>
            <w:gridSpan w:val="3"/>
            <w:shd w:val="clear" w:color="auto" w:fill="CCEEFF"/>
          </w:tcPr>
          <w:p>
            <w:pPr>
              <w:jc w:val="right"/>
              <w:ind w:right="39"/>
              <w:spacing w:after="0" w:line="149" w:lineRule="exact"/>
              <w:rPr>
                <w:sz w:val="20"/>
                <w:szCs w:val="20"/>
                <w:color w:val="auto"/>
              </w:rPr>
            </w:pPr>
            <w:r>
              <w:rPr>
                <w:rFonts w:ascii="Arial" w:cs="Arial" w:eastAsia="Arial" w:hAnsi="Arial"/>
                <w:sz w:val="14"/>
                <w:szCs w:val="14"/>
                <w:color w:val="auto"/>
              </w:rPr>
              <w:t>$ (73,180,502)</w:t>
            </w:r>
          </w:p>
        </w:tc>
        <w:tc>
          <w:tcPr>
            <w:tcW w:w="22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26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(120,556)</w:t>
            </w:r>
          </w:p>
        </w:tc>
        <w:tc>
          <w:tcPr>
            <w:tcW w:w="180" w:type="dxa"/>
            <w:vAlign w:val="bottom"/>
            <w:gridSpan w:val="2"/>
            <w:shd w:val="clear" w:color="auto" w:fill="CCEEFF"/>
          </w:tcPr>
          <w:p>
            <w:pPr>
              <w:ind w:left="100"/>
              <w:spacing w:after="0" w:line="149" w:lineRule="exact"/>
              <w:rPr>
                <w:sz w:val="20"/>
                <w:szCs w:val="20"/>
                <w:color w:val="auto"/>
              </w:rPr>
            </w:pPr>
            <w:r>
              <w:rPr>
                <w:rFonts w:ascii="Arial" w:cs="Arial" w:eastAsia="Arial" w:hAnsi="Arial"/>
                <w:sz w:val="14"/>
                <w:szCs w:val="14"/>
                <w:color w:val="auto"/>
                <w:w w:val="76"/>
              </w:rPr>
              <w:t>$</w:t>
            </w:r>
          </w:p>
        </w:tc>
        <w:tc>
          <w:tcPr>
            <w:tcW w:w="880" w:type="dxa"/>
            <w:vAlign w:val="bottom"/>
            <w:gridSpan w:val="2"/>
            <w:shd w:val="clear" w:color="auto" w:fill="CCEEFF"/>
          </w:tcPr>
          <w:p>
            <w:pPr>
              <w:jc w:val="right"/>
              <w:ind w:right="19"/>
              <w:spacing w:after="0" w:line="149" w:lineRule="exact"/>
              <w:rPr>
                <w:sz w:val="20"/>
                <w:szCs w:val="20"/>
                <w:color w:val="auto"/>
              </w:rPr>
            </w:pPr>
            <w:r>
              <w:rPr>
                <w:rFonts w:ascii="Arial" w:cs="Arial" w:eastAsia="Arial" w:hAnsi="Arial"/>
                <w:sz w:val="14"/>
                <w:szCs w:val="14"/>
                <w:color w:val="auto"/>
              </w:rPr>
              <w:t>(73,270,706)</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880" w:type="dxa"/>
            <w:vAlign w:val="bottom"/>
          </w:tcPr>
          <w:p>
            <w:pPr>
              <w:spacing w:after="0" w:line="149" w:lineRule="exact"/>
              <w:rPr>
                <w:sz w:val="20"/>
                <w:szCs w:val="20"/>
                <w:color w:val="auto"/>
              </w:rPr>
            </w:pPr>
            <w:r>
              <w:rPr>
                <w:rFonts w:ascii="Arial" w:cs="Arial" w:eastAsia="Arial" w:hAnsi="Arial"/>
                <w:sz w:val="14"/>
                <w:szCs w:val="14"/>
                <w:color w:val="auto"/>
              </w:rPr>
              <w:t>Exercise of stock options</w:t>
            </w:r>
          </w:p>
        </w:tc>
        <w:tc>
          <w:tcPr>
            <w:tcW w:w="800" w:type="dxa"/>
            <w:vAlign w:val="bottom"/>
          </w:tcPr>
          <w:p>
            <w:pPr>
              <w:jc w:val="right"/>
              <w:ind w:right="8"/>
              <w:spacing w:after="0" w:line="149" w:lineRule="exact"/>
              <w:rPr>
                <w:sz w:val="20"/>
                <w:szCs w:val="20"/>
                <w:color w:val="auto"/>
              </w:rPr>
            </w:pPr>
            <w:r>
              <w:rPr>
                <w:rFonts w:ascii="Arial" w:cs="Arial" w:eastAsia="Arial" w:hAnsi="Arial"/>
                <w:sz w:val="14"/>
                <w:szCs w:val="14"/>
                <w:color w:val="auto"/>
              </w:rPr>
              <w:t>—</w:t>
            </w: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tcPr>
          <w:p>
            <w:pPr>
              <w:jc w:val="right"/>
              <w:ind w:right="8"/>
              <w:spacing w:after="0" w:line="149" w:lineRule="exact"/>
              <w:rPr>
                <w:sz w:val="20"/>
                <w:szCs w:val="20"/>
                <w:color w:val="auto"/>
              </w:rPr>
            </w:pPr>
            <w:r>
              <w:rPr>
                <w:rFonts w:ascii="Arial" w:cs="Arial" w:eastAsia="Arial" w:hAnsi="Arial"/>
                <w:sz w:val="14"/>
                <w:szCs w:val="14"/>
                <w:color w:val="auto"/>
              </w:rPr>
              <w:t>—</w:t>
            </w:r>
          </w:p>
        </w:tc>
        <w:tc>
          <w:tcPr>
            <w:tcW w:w="88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185,124</w:t>
            </w:r>
          </w:p>
        </w:tc>
        <w:tc>
          <w:tcPr>
            <w:tcW w:w="1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80" w:type="dxa"/>
            <w:vAlign w:val="bottom"/>
          </w:tcPr>
          <w:p>
            <w:pPr>
              <w:ind w:left="260"/>
              <w:spacing w:after="0" w:line="149" w:lineRule="exact"/>
              <w:rPr>
                <w:sz w:val="20"/>
                <w:szCs w:val="20"/>
                <w:color w:val="auto"/>
              </w:rPr>
            </w:pPr>
            <w:r>
              <w:rPr>
                <w:rFonts w:ascii="Arial" w:cs="Arial" w:eastAsia="Arial" w:hAnsi="Arial"/>
                <w:sz w:val="14"/>
                <w:szCs w:val="14"/>
                <w:color w:val="auto"/>
                <w:w w:val="85"/>
              </w:rPr>
              <w:t>186</w:t>
            </w: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jc w:val="right"/>
              <w:spacing w:after="0" w:line="149" w:lineRule="exact"/>
              <w:rPr>
                <w:sz w:val="20"/>
                <w:szCs w:val="20"/>
                <w:color w:val="auto"/>
              </w:rPr>
            </w:pPr>
            <w:r>
              <w:rPr>
                <w:rFonts w:ascii="Arial" w:cs="Arial" w:eastAsia="Arial" w:hAnsi="Arial"/>
                <w:sz w:val="14"/>
                <w:szCs w:val="14"/>
                <w:color w:val="auto"/>
              </w:rPr>
              <w:t>129,158</w:t>
            </w: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60" w:type="dxa"/>
            <w:vAlign w:val="bottom"/>
            <w:gridSpan w:val="2"/>
          </w:tcPr>
          <w:p>
            <w:pPr>
              <w:jc w:val="right"/>
              <w:ind w:right="159"/>
              <w:spacing w:after="0" w:line="149"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6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80" w:type="dxa"/>
            <w:vAlign w:val="bottom"/>
          </w:tcPr>
          <w:p>
            <w:pPr>
              <w:jc w:val="right"/>
              <w:spacing w:after="0" w:line="149" w:lineRule="exact"/>
              <w:rPr>
                <w:sz w:val="20"/>
                <w:szCs w:val="20"/>
                <w:color w:val="auto"/>
              </w:rPr>
            </w:pPr>
            <w:r>
              <w:rPr>
                <w:rFonts w:ascii="Arial" w:cs="Arial" w:eastAsia="Arial" w:hAnsi="Arial"/>
                <w:sz w:val="14"/>
                <w:szCs w:val="14"/>
                <w:color w:val="auto"/>
              </w:rPr>
              <w:t>129,344</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8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Accretion of preferred stock dividends</w:t>
            </w:r>
          </w:p>
        </w:tc>
        <w:tc>
          <w:tcPr>
            <w:tcW w:w="800" w:type="dxa"/>
            <w:vAlign w:val="bottom"/>
            <w:shd w:val="clear" w:color="auto" w:fill="CCEEFF"/>
          </w:tcPr>
          <w:p>
            <w:pPr>
              <w:jc w:val="right"/>
              <w:ind w:right="8"/>
              <w:spacing w:after="0" w:line="149" w:lineRule="exact"/>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25,576,834</w:t>
            </w:r>
          </w:p>
        </w:tc>
        <w:tc>
          <w:tcPr>
            <w:tcW w:w="180" w:type="dxa"/>
            <w:vAlign w:val="bottom"/>
            <w:shd w:val="clear" w:color="auto" w:fill="CCEEFF"/>
          </w:tcPr>
          <w:p>
            <w:pPr>
              <w:spacing w:after="0"/>
              <w:rPr>
                <w:sz w:val="12"/>
                <w:szCs w:val="12"/>
                <w:color w:val="auto"/>
              </w:rPr>
            </w:pPr>
          </w:p>
        </w:tc>
        <w:tc>
          <w:tcPr>
            <w:tcW w:w="700" w:type="dxa"/>
            <w:vAlign w:val="bottom"/>
            <w:shd w:val="clear" w:color="auto" w:fill="CCEEFF"/>
          </w:tcPr>
          <w:p>
            <w:pPr>
              <w:jc w:val="right"/>
              <w:ind w:right="8"/>
              <w:spacing w:after="0" w:line="149" w:lineRule="exact"/>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480" w:type="dxa"/>
            <w:vAlign w:val="bottom"/>
            <w:shd w:val="clear" w:color="auto" w:fill="CCEEFF"/>
          </w:tcPr>
          <w:p>
            <w:pPr>
              <w:ind w:left="260"/>
              <w:spacing w:after="0" w:line="149" w:lineRule="exact"/>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(646,575)</w:t>
            </w:r>
          </w:p>
        </w:tc>
        <w:tc>
          <w:tcPr>
            <w:tcW w:w="1060" w:type="dxa"/>
            <w:vAlign w:val="bottom"/>
            <w:gridSpan w:val="3"/>
            <w:shd w:val="clear" w:color="auto" w:fill="CCEEFF"/>
          </w:tcPr>
          <w:p>
            <w:pPr>
              <w:jc w:val="right"/>
              <w:ind w:right="39"/>
              <w:spacing w:after="0" w:line="149" w:lineRule="exact"/>
              <w:rPr>
                <w:sz w:val="20"/>
                <w:szCs w:val="20"/>
                <w:color w:val="auto"/>
              </w:rPr>
            </w:pPr>
            <w:r>
              <w:rPr>
                <w:rFonts w:ascii="Arial" w:cs="Arial" w:eastAsia="Arial" w:hAnsi="Arial"/>
                <w:sz w:val="14"/>
                <w:szCs w:val="14"/>
                <w:color w:val="auto"/>
              </w:rPr>
              <w:t>(24,930,259)</w:t>
            </w: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6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80" w:type="dxa"/>
            <w:vAlign w:val="bottom"/>
            <w:gridSpan w:val="2"/>
            <w:shd w:val="clear" w:color="auto" w:fill="CCEEFF"/>
          </w:tcPr>
          <w:p>
            <w:pPr>
              <w:jc w:val="right"/>
              <w:ind w:right="19"/>
              <w:spacing w:after="0" w:line="149" w:lineRule="exact"/>
              <w:rPr>
                <w:sz w:val="20"/>
                <w:szCs w:val="20"/>
                <w:color w:val="auto"/>
              </w:rPr>
            </w:pPr>
            <w:r>
              <w:rPr>
                <w:rFonts w:ascii="Arial" w:cs="Arial" w:eastAsia="Arial" w:hAnsi="Arial"/>
                <w:sz w:val="14"/>
                <w:szCs w:val="14"/>
                <w:color w:val="auto"/>
              </w:rPr>
              <w:t>(25,576,834)</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880" w:type="dxa"/>
            <w:vAlign w:val="bottom"/>
          </w:tcPr>
          <w:p>
            <w:pPr>
              <w:spacing w:after="0" w:line="149" w:lineRule="exact"/>
              <w:rPr>
                <w:sz w:val="20"/>
                <w:szCs w:val="20"/>
                <w:color w:val="auto"/>
              </w:rPr>
            </w:pPr>
            <w:r>
              <w:rPr>
                <w:rFonts w:ascii="Arial" w:cs="Arial" w:eastAsia="Arial" w:hAnsi="Arial"/>
                <w:sz w:val="14"/>
                <w:szCs w:val="14"/>
                <w:color w:val="auto"/>
              </w:rPr>
              <w:t>Accretion of preferred stock offering costs</w:t>
            </w:r>
          </w:p>
        </w:tc>
        <w:tc>
          <w:tcPr>
            <w:tcW w:w="800" w:type="dxa"/>
            <w:vAlign w:val="bottom"/>
          </w:tcPr>
          <w:p>
            <w:pPr>
              <w:jc w:val="right"/>
              <w:ind w:right="8"/>
              <w:spacing w:after="0" w:line="149" w:lineRule="exact"/>
              <w:rPr>
                <w:sz w:val="20"/>
                <w:szCs w:val="20"/>
                <w:color w:val="auto"/>
              </w:rPr>
            </w:pPr>
            <w:r>
              <w:rPr>
                <w:rFonts w:ascii="Arial" w:cs="Arial" w:eastAsia="Arial" w:hAnsi="Arial"/>
                <w:sz w:val="14"/>
                <w:szCs w:val="14"/>
                <w:color w:val="auto"/>
              </w:rPr>
              <w:t>—</w:t>
            </w: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tcPr>
          <w:p>
            <w:pPr>
              <w:jc w:val="right"/>
              <w:spacing w:after="0" w:line="149" w:lineRule="exact"/>
              <w:rPr>
                <w:sz w:val="20"/>
                <w:szCs w:val="20"/>
                <w:color w:val="auto"/>
              </w:rPr>
            </w:pPr>
            <w:r>
              <w:rPr>
                <w:rFonts w:ascii="Arial" w:cs="Arial" w:eastAsia="Arial" w:hAnsi="Arial"/>
                <w:sz w:val="14"/>
                <w:szCs w:val="14"/>
                <w:color w:val="auto"/>
              </w:rPr>
              <w:t>56,367</w:t>
            </w:r>
          </w:p>
        </w:tc>
        <w:tc>
          <w:tcPr>
            <w:tcW w:w="180" w:type="dxa"/>
            <w:vAlign w:val="bottom"/>
          </w:tcPr>
          <w:p>
            <w:pPr>
              <w:spacing w:after="0"/>
              <w:rPr>
                <w:sz w:val="12"/>
                <w:szCs w:val="12"/>
                <w:color w:val="auto"/>
              </w:rPr>
            </w:pPr>
          </w:p>
        </w:tc>
        <w:tc>
          <w:tcPr>
            <w:tcW w:w="700" w:type="dxa"/>
            <w:vAlign w:val="bottom"/>
          </w:tcPr>
          <w:p>
            <w:pPr>
              <w:jc w:val="right"/>
              <w:ind w:right="8"/>
              <w:spacing w:after="0" w:line="149" w:lineRule="exact"/>
              <w:rPr>
                <w:sz w:val="20"/>
                <w:szCs w:val="20"/>
                <w:color w:val="auto"/>
              </w:rPr>
            </w:pPr>
            <w:r>
              <w:rPr>
                <w:rFonts w:ascii="Arial" w:cs="Arial" w:eastAsia="Arial" w:hAnsi="Arial"/>
                <w:sz w:val="14"/>
                <w:szCs w:val="14"/>
                <w:color w:val="auto"/>
              </w:rPr>
              <w:t>—</w:t>
            </w:r>
          </w:p>
        </w:tc>
        <w:tc>
          <w:tcPr>
            <w:tcW w:w="1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80" w:type="dxa"/>
            <w:vAlign w:val="bottom"/>
          </w:tcPr>
          <w:p>
            <w:pPr>
              <w:ind w:left="260"/>
              <w:spacing w:after="0" w:line="149" w:lineRule="exact"/>
              <w:rPr>
                <w:sz w:val="20"/>
                <w:szCs w:val="20"/>
                <w:color w:val="auto"/>
              </w:rPr>
            </w:pPr>
            <w:r>
              <w:rPr>
                <w:rFonts w:ascii="Arial" w:cs="Arial" w:eastAsia="Arial" w:hAnsi="Arial"/>
                <w:sz w:val="14"/>
                <w:szCs w:val="14"/>
                <w:color w:val="auto"/>
              </w:rPr>
              <w:t>—</w:t>
            </w: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1060" w:type="dxa"/>
            <w:vAlign w:val="bottom"/>
            <w:gridSpan w:val="3"/>
          </w:tcPr>
          <w:p>
            <w:pPr>
              <w:jc w:val="right"/>
              <w:ind w:right="39"/>
              <w:spacing w:after="0" w:line="149" w:lineRule="exact"/>
              <w:rPr>
                <w:sz w:val="20"/>
                <w:szCs w:val="20"/>
                <w:color w:val="auto"/>
              </w:rPr>
            </w:pPr>
            <w:r>
              <w:rPr>
                <w:rFonts w:ascii="Arial" w:cs="Arial" w:eastAsia="Arial" w:hAnsi="Arial"/>
                <w:sz w:val="14"/>
                <w:szCs w:val="14"/>
                <w:color w:val="auto"/>
              </w:rPr>
              <w:t>(56,367)</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6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80" w:type="dxa"/>
            <w:vAlign w:val="bottom"/>
            <w:gridSpan w:val="2"/>
          </w:tcPr>
          <w:p>
            <w:pPr>
              <w:jc w:val="right"/>
              <w:ind w:right="19"/>
              <w:spacing w:after="0" w:line="149" w:lineRule="exact"/>
              <w:rPr>
                <w:sz w:val="20"/>
                <w:szCs w:val="20"/>
                <w:color w:val="auto"/>
              </w:rPr>
            </w:pPr>
            <w:r>
              <w:rPr>
                <w:rFonts w:ascii="Arial" w:cs="Arial" w:eastAsia="Arial" w:hAnsi="Arial"/>
                <w:sz w:val="14"/>
                <w:szCs w:val="14"/>
                <w:color w:val="auto"/>
              </w:rPr>
              <w:t>(56,367)</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8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Stock-based compensation expense</w:t>
            </w:r>
          </w:p>
        </w:tc>
        <w:tc>
          <w:tcPr>
            <w:tcW w:w="800" w:type="dxa"/>
            <w:vAlign w:val="bottom"/>
            <w:shd w:val="clear" w:color="auto" w:fill="CCEEFF"/>
          </w:tcPr>
          <w:p>
            <w:pPr>
              <w:jc w:val="right"/>
              <w:ind w:right="8"/>
              <w:spacing w:after="0" w:line="149" w:lineRule="exact"/>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0" w:type="dxa"/>
            <w:vAlign w:val="bottom"/>
            <w:shd w:val="clear" w:color="auto" w:fill="CCEEFF"/>
          </w:tcPr>
          <w:p>
            <w:pPr>
              <w:jc w:val="right"/>
              <w:ind w:right="8"/>
              <w:spacing w:after="0" w:line="149" w:lineRule="exact"/>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2"/>
                <w:szCs w:val="12"/>
                <w:color w:val="auto"/>
              </w:rPr>
            </w:pPr>
          </w:p>
        </w:tc>
        <w:tc>
          <w:tcPr>
            <w:tcW w:w="700" w:type="dxa"/>
            <w:vAlign w:val="bottom"/>
            <w:shd w:val="clear" w:color="auto" w:fill="CCEEFF"/>
          </w:tcPr>
          <w:p>
            <w:pPr>
              <w:jc w:val="right"/>
              <w:ind w:right="8"/>
              <w:spacing w:after="0" w:line="149" w:lineRule="exact"/>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480" w:type="dxa"/>
            <w:vAlign w:val="bottom"/>
            <w:shd w:val="clear" w:color="auto" w:fill="CCEEFF"/>
          </w:tcPr>
          <w:p>
            <w:pPr>
              <w:ind w:left="260"/>
              <w:spacing w:after="0" w:line="149" w:lineRule="exact"/>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517,417</w:t>
            </w:r>
          </w:p>
        </w:tc>
        <w:tc>
          <w:tcPr>
            <w:tcW w:w="1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960" w:type="dxa"/>
            <w:vAlign w:val="bottom"/>
            <w:gridSpan w:val="2"/>
            <w:shd w:val="clear" w:color="auto" w:fill="CCEEFF"/>
          </w:tcPr>
          <w:p>
            <w:pPr>
              <w:jc w:val="right"/>
              <w:ind w:right="159"/>
              <w:spacing w:after="0" w:line="149" w:lineRule="exact"/>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6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517,417</w:t>
            </w: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880" w:type="dxa"/>
            <w:vAlign w:val="bottom"/>
          </w:tcPr>
          <w:p>
            <w:pPr>
              <w:spacing w:after="0" w:line="149" w:lineRule="exact"/>
              <w:rPr>
                <w:sz w:val="20"/>
                <w:szCs w:val="20"/>
                <w:color w:val="auto"/>
              </w:rPr>
            </w:pPr>
            <w:r>
              <w:rPr>
                <w:rFonts w:ascii="Arial" w:cs="Arial" w:eastAsia="Arial" w:hAnsi="Arial"/>
                <w:sz w:val="14"/>
                <w:szCs w:val="14"/>
                <w:color w:val="auto"/>
              </w:rPr>
              <w:t>Effect of translation adjustments</w:t>
            </w:r>
          </w:p>
        </w:tc>
        <w:tc>
          <w:tcPr>
            <w:tcW w:w="800" w:type="dxa"/>
            <w:vAlign w:val="bottom"/>
          </w:tcPr>
          <w:p>
            <w:pPr>
              <w:jc w:val="right"/>
              <w:ind w:right="8"/>
              <w:spacing w:after="0" w:line="149" w:lineRule="exact"/>
              <w:rPr>
                <w:sz w:val="20"/>
                <w:szCs w:val="20"/>
                <w:color w:val="auto"/>
              </w:rPr>
            </w:pPr>
            <w:r>
              <w:rPr>
                <w:rFonts w:ascii="Arial" w:cs="Arial" w:eastAsia="Arial" w:hAnsi="Arial"/>
                <w:sz w:val="14"/>
                <w:szCs w:val="14"/>
                <w:color w:val="auto"/>
              </w:rPr>
              <w:t>—</w:t>
            </w: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tcPr>
          <w:p>
            <w:pPr>
              <w:jc w:val="right"/>
              <w:ind w:right="8"/>
              <w:spacing w:after="0" w:line="149" w:lineRule="exact"/>
              <w:rPr>
                <w:sz w:val="20"/>
                <w:szCs w:val="20"/>
                <w:color w:val="auto"/>
              </w:rPr>
            </w:pPr>
            <w:r>
              <w:rPr>
                <w:rFonts w:ascii="Arial" w:cs="Arial" w:eastAsia="Arial" w:hAnsi="Arial"/>
                <w:sz w:val="14"/>
                <w:szCs w:val="14"/>
                <w:color w:val="auto"/>
              </w:rPr>
              <w:t>—</w:t>
            </w:r>
          </w:p>
        </w:tc>
        <w:tc>
          <w:tcPr>
            <w:tcW w:w="180" w:type="dxa"/>
            <w:vAlign w:val="bottom"/>
          </w:tcPr>
          <w:p>
            <w:pPr>
              <w:spacing w:after="0"/>
              <w:rPr>
                <w:sz w:val="12"/>
                <w:szCs w:val="12"/>
                <w:color w:val="auto"/>
              </w:rPr>
            </w:pPr>
          </w:p>
        </w:tc>
        <w:tc>
          <w:tcPr>
            <w:tcW w:w="700" w:type="dxa"/>
            <w:vAlign w:val="bottom"/>
          </w:tcPr>
          <w:p>
            <w:pPr>
              <w:jc w:val="right"/>
              <w:ind w:right="8"/>
              <w:spacing w:after="0" w:line="149" w:lineRule="exact"/>
              <w:rPr>
                <w:sz w:val="20"/>
                <w:szCs w:val="20"/>
                <w:color w:val="auto"/>
              </w:rPr>
            </w:pPr>
            <w:r>
              <w:rPr>
                <w:rFonts w:ascii="Arial" w:cs="Arial" w:eastAsia="Arial" w:hAnsi="Arial"/>
                <w:sz w:val="14"/>
                <w:szCs w:val="14"/>
                <w:color w:val="auto"/>
              </w:rPr>
              <w:t>—</w:t>
            </w:r>
          </w:p>
        </w:tc>
        <w:tc>
          <w:tcPr>
            <w:tcW w:w="1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80" w:type="dxa"/>
            <w:vAlign w:val="bottom"/>
          </w:tcPr>
          <w:p>
            <w:pPr>
              <w:ind w:left="260"/>
              <w:spacing w:after="0" w:line="149" w:lineRule="exact"/>
              <w:rPr>
                <w:sz w:val="20"/>
                <w:szCs w:val="20"/>
                <w:color w:val="auto"/>
              </w:rPr>
            </w:pPr>
            <w:r>
              <w:rPr>
                <w:rFonts w:ascii="Arial" w:cs="Arial" w:eastAsia="Arial" w:hAnsi="Arial"/>
                <w:sz w:val="14"/>
                <w:szCs w:val="14"/>
                <w:color w:val="auto"/>
              </w:rPr>
              <w:t>—</w:t>
            </w: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960" w:type="dxa"/>
            <w:vAlign w:val="bottom"/>
            <w:gridSpan w:val="2"/>
          </w:tcPr>
          <w:p>
            <w:pPr>
              <w:jc w:val="right"/>
              <w:ind w:right="159"/>
              <w:spacing w:after="0" w:line="149"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20" w:type="dxa"/>
            <w:vAlign w:val="bottom"/>
          </w:tcPr>
          <w:p>
            <w:pPr>
              <w:jc w:val="right"/>
              <w:spacing w:after="0" w:line="149" w:lineRule="exact"/>
              <w:rPr>
                <w:sz w:val="20"/>
                <w:szCs w:val="20"/>
                <w:color w:val="auto"/>
              </w:rPr>
            </w:pPr>
            <w:r>
              <w:rPr>
                <w:rFonts w:ascii="Arial" w:cs="Arial" w:eastAsia="Arial" w:hAnsi="Arial"/>
                <w:sz w:val="14"/>
                <w:szCs w:val="14"/>
                <w:color w:val="auto"/>
              </w:rPr>
              <w:t>232,083</w:t>
            </w: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80" w:type="dxa"/>
            <w:vAlign w:val="bottom"/>
          </w:tcPr>
          <w:p>
            <w:pPr>
              <w:jc w:val="right"/>
              <w:spacing w:after="0" w:line="149" w:lineRule="exact"/>
              <w:rPr>
                <w:sz w:val="20"/>
                <w:szCs w:val="20"/>
                <w:color w:val="auto"/>
              </w:rPr>
            </w:pPr>
            <w:r>
              <w:rPr>
                <w:rFonts w:ascii="Arial" w:cs="Arial" w:eastAsia="Arial" w:hAnsi="Arial"/>
                <w:sz w:val="14"/>
                <w:szCs w:val="14"/>
                <w:color w:val="auto"/>
              </w:rPr>
              <w:t>232,083</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8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Net income</w:t>
            </w:r>
          </w:p>
        </w:tc>
        <w:tc>
          <w:tcPr>
            <w:tcW w:w="800" w:type="dxa"/>
            <w:vAlign w:val="bottom"/>
            <w:shd w:val="clear" w:color="auto" w:fill="CCEEFF"/>
          </w:tcPr>
          <w:p>
            <w:pPr>
              <w:jc w:val="right"/>
              <w:ind w:right="8"/>
              <w:spacing w:after="0" w:line="149" w:lineRule="exact"/>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0" w:type="dxa"/>
            <w:vAlign w:val="bottom"/>
            <w:shd w:val="clear" w:color="auto" w:fill="CCEEFF"/>
          </w:tcPr>
          <w:p>
            <w:pPr>
              <w:jc w:val="right"/>
              <w:ind w:right="8"/>
              <w:spacing w:after="0" w:line="149" w:lineRule="exact"/>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2"/>
                <w:szCs w:val="12"/>
                <w:color w:val="auto"/>
              </w:rPr>
            </w:pPr>
          </w:p>
        </w:tc>
        <w:tc>
          <w:tcPr>
            <w:tcW w:w="700" w:type="dxa"/>
            <w:vAlign w:val="bottom"/>
            <w:shd w:val="clear" w:color="auto" w:fill="CCEEFF"/>
          </w:tcPr>
          <w:p>
            <w:pPr>
              <w:jc w:val="right"/>
              <w:ind w:right="8"/>
              <w:spacing w:after="0" w:line="149" w:lineRule="exact"/>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480" w:type="dxa"/>
            <w:vAlign w:val="bottom"/>
            <w:shd w:val="clear" w:color="auto" w:fill="CCEEFF"/>
          </w:tcPr>
          <w:p>
            <w:pPr>
              <w:ind w:left="260"/>
              <w:spacing w:after="0" w:line="149" w:lineRule="exact"/>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94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2,843,976</w:t>
            </w:r>
          </w:p>
        </w:tc>
        <w:tc>
          <w:tcPr>
            <w:tcW w:w="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6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2,843,976</w:t>
            </w: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56"/>
        </w:trPr>
        <w:tc>
          <w:tcPr>
            <w:tcW w:w="2900" w:type="dxa"/>
            <w:vAlign w:val="bottom"/>
            <w:gridSpan w:val="2"/>
          </w:tcPr>
          <w:p>
            <w:pPr>
              <w:spacing w:after="0" w:line="155" w:lineRule="exact"/>
              <w:rPr>
                <w:sz w:val="20"/>
                <w:szCs w:val="20"/>
                <w:color w:val="auto"/>
              </w:rPr>
            </w:pPr>
            <w:r>
              <w:rPr>
                <w:rFonts w:ascii="Arial" w:cs="Arial" w:eastAsia="Arial" w:hAnsi="Arial"/>
                <w:sz w:val="14"/>
                <w:szCs w:val="14"/>
                <w:b w:val="1"/>
                <w:bCs w:val="1"/>
                <w:color w:val="auto"/>
              </w:rPr>
              <w:t>Balances as of December 31, 2018</w:t>
            </w:r>
          </w:p>
        </w:tc>
        <w:tc>
          <w:tcPr>
            <w:tcW w:w="80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16,912,500</w:t>
            </w:r>
          </w:p>
        </w:tc>
        <w:tc>
          <w:tcPr>
            <w:tcW w:w="180" w:type="dxa"/>
            <w:vAlign w:val="bottom"/>
          </w:tcPr>
          <w:p>
            <w:pPr>
              <w:spacing w:after="0"/>
              <w:rPr>
                <w:sz w:val="13"/>
                <w:szCs w:val="13"/>
                <w:color w:val="auto"/>
              </w:rPr>
            </w:pPr>
          </w:p>
        </w:tc>
        <w:tc>
          <w:tcPr>
            <w:tcW w:w="10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w w:val="76"/>
              </w:rPr>
              <w:t>$</w:t>
            </w:r>
          </w:p>
        </w:tc>
        <w:tc>
          <w:tcPr>
            <w:tcW w:w="80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81,631,569</w:t>
            </w:r>
          </w:p>
        </w:tc>
        <w:tc>
          <w:tcPr>
            <w:tcW w:w="180" w:type="dxa"/>
            <w:vAlign w:val="bottom"/>
          </w:tcPr>
          <w:p>
            <w:pPr>
              <w:spacing w:after="0"/>
              <w:rPr>
                <w:sz w:val="13"/>
                <w:szCs w:val="13"/>
                <w:color w:val="auto"/>
              </w:rPr>
            </w:pPr>
          </w:p>
        </w:tc>
        <w:tc>
          <w:tcPr>
            <w:tcW w:w="70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w w:val="94"/>
              </w:rPr>
              <w:t>30,537,908</w:t>
            </w:r>
          </w:p>
        </w:tc>
        <w:tc>
          <w:tcPr>
            <w:tcW w:w="180" w:type="dxa"/>
            <w:vAlign w:val="bottom"/>
          </w:tcPr>
          <w:p>
            <w:pPr>
              <w:spacing w:after="0"/>
              <w:rPr>
                <w:sz w:val="13"/>
                <w:szCs w:val="13"/>
                <w:color w:val="auto"/>
              </w:rPr>
            </w:pPr>
          </w:p>
        </w:tc>
        <w:tc>
          <w:tcPr>
            <w:tcW w:w="140" w:type="dxa"/>
            <w:vAlign w:val="bottom"/>
            <w:tcBorders>
              <w:top w:val="single" w:sz="8" w:color="auto"/>
              <w:bottom w:val="single" w:sz="8" w:color="auto"/>
            </w:tcBorders>
          </w:tcPr>
          <w:p>
            <w:pPr>
              <w:spacing w:after="0" w:line="155" w:lineRule="exact"/>
              <w:rPr>
                <w:sz w:val="20"/>
                <w:szCs w:val="20"/>
                <w:color w:val="auto"/>
              </w:rPr>
            </w:pPr>
            <w:r>
              <w:rPr>
                <w:rFonts w:ascii="Arial" w:cs="Arial" w:eastAsia="Arial" w:hAnsi="Arial"/>
                <w:sz w:val="14"/>
                <w:szCs w:val="14"/>
                <w:color w:val="auto"/>
              </w:rPr>
              <w:t>$</w:t>
            </w:r>
          </w:p>
        </w:tc>
        <w:tc>
          <w:tcPr>
            <w:tcW w:w="480" w:type="dxa"/>
            <w:vAlign w:val="bottom"/>
            <w:tcBorders>
              <w:top w:val="single" w:sz="8" w:color="auto"/>
              <w:bottom w:val="single" w:sz="8" w:color="auto"/>
            </w:tcBorders>
          </w:tcPr>
          <w:p>
            <w:pPr>
              <w:ind w:left="80"/>
              <w:spacing w:after="0" w:line="155" w:lineRule="exact"/>
              <w:rPr>
                <w:sz w:val="20"/>
                <w:szCs w:val="20"/>
                <w:color w:val="auto"/>
              </w:rPr>
            </w:pPr>
            <w:r>
              <w:rPr>
                <w:rFonts w:ascii="Arial" w:cs="Arial" w:eastAsia="Arial" w:hAnsi="Arial"/>
                <w:sz w:val="14"/>
                <w:szCs w:val="14"/>
                <w:color w:val="auto"/>
                <w:w w:val="88"/>
              </w:rPr>
              <w:t>30,538</w:t>
            </w:r>
          </w:p>
        </w:tc>
        <w:tc>
          <w:tcPr>
            <w:tcW w:w="180" w:type="dxa"/>
            <w:vAlign w:val="bottom"/>
          </w:tcPr>
          <w:p>
            <w:pPr>
              <w:spacing w:after="0"/>
              <w:rPr>
                <w:sz w:val="13"/>
                <w:szCs w:val="13"/>
                <w:color w:val="auto"/>
              </w:rPr>
            </w:pPr>
          </w:p>
        </w:tc>
        <w:tc>
          <w:tcPr>
            <w:tcW w:w="80" w:type="dxa"/>
            <w:vAlign w:val="bottom"/>
            <w:tcBorders>
              <w:top w:val="single" w:sz="8" w:color="auto"/>
              <w:bottom w:val="single" w:sz="8" w:color="auto"/>
            </w:tcBorders>
          </w:tcPr>
          <w:p>
            <w:pPr>
              <w:spacing w:after="0" w:line="155" w:lineRule="exact"/>
              <w:rPr>
                <w:sz w:val="20"/>
                <w:szCs w:val="20"/>
                <w:color w:val="auto"/>
              </w:rPr>
            </w:pPr>
            <w:r>
              <w:rPr>
                <w:rFonts w:ascii="Arial" w:cs="Arial" w:eastAsia="Arial" w:hAnsi="Arial"/>
                <w:sz w:val="14"/>
                <w:szCs w:val="14"/>
                <w:color w:val="auto"/>
                <w:w w:val="76"/>
              </w:rPr>
              <w:t>$</w:t>
            </w:r>
          </w:p>
        </w:tc>
        <w:tc>
          <w:tcPr>
            <w:tcW w:w="580" w:type="dxa"/>
            <w:vAlign w:val="bottom"/>
            <w:tcBorders>
              <w:top w:val="single" w:sz="8" w:color="auto"/>
              <w:bottom w:val="single" w:sz="8" w:color="auto"/>
            </w:tcBorders>
          </w:tcPr>
          <w:p>
            <w:pPr>
              <w:jc w:val="right"/>
              <w:ind w:right="8"/>
              <w:spacing w:after="0" w:line="155" w:lineRule="exact"/>
              <w:rPr>
                <w:sz w:val="20"/>
                <w:szCs w:val="20"/>
                <w:color w:val="auto"/>
              </w:rPr>
            </w:pPr>
            <w:r>
              <w:rPr>
                <w:rFonts w:ascii="Arial" w:cs="Arial" w:eastAsia="Arial" w:hAnsi="Arial"/>
                <w:sz w:val="14"/>
                <w:szCs w:val="14"/>
                <w:color w:val="auto"/>
              </w:rPr>
              <w:t>—</w:t>
            </w: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4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w w:val="92"/>
              </w:rPr>
              <w:t>$ (95,323,152</w:t>
            </w:r>
          </w:p>
        </w:tc>
        <w:tc>
          <w:tcPr>
            <w:tcW w:w="120" w:type="dxa"/>
            <w:vAlign w:val="bottom"/>
          </w:tcPr>
          <w:p>
            <w:pPr>
              <w:jc w:val="right"/>
              <w:ind w:right="39"/>
              <w:spacing w:after="0"/>
              <w:rPr>
                <w:sz w:val="20"/>
                <w:szCs w:val="20"/>
                <w:color w:val="auto"/>
              </w:rPr>
            </w:pPr>
            <w:r>
              <w:rPr>
                <w:rFonts w:ascii="Arial" w:cs="Arial" w:eastAsia="Arial" w:hAnsi="Arial"/>
                <w:sz w:val="8"/>
                <w:szCs w:val="8"/>
                <w:color w:val="auto"/>
                <w:w w:val="73"/>
              </w:rPr>
              <w:t>)</w:t>
            </w:r>
          </w:p>
        </w:tc>
        <w:tc>
          <w:tcPr>
            <w:tcW w:w="120" w:type="dxa"/>
            <w:vAlign w:val="bottom"/>
          </w:tcPr>
          <w:p>
            <w:pPr>
              <w:spacing w:after="0"/>
              <w:rPr>
                <w:sz w:val="13"/>
                <w:szCs w:val="13"/>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112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111,527</w:t>
            </w: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 w:type="dxa"/>
            <w:vAlign w:val="bottom"/>
            <w:tcBorders>
              <w:top w:val="single" w:sz="8" w:color="auto"/>
              <w:bottom w:val="single" w:sz="8" w:color="auto"/>
            </w:tcBorders>
          </w:tcPr>
          <w:p>
            <w:pPr>
              <w:spacing w:after="0" w:line="155" w:lineRule="exact"/>
              <w:rPr>
                <w:sz w:val="20"/>
                <w:szCs w:val="20"/>
                <w:color w:val="auto"/>
              </w:rPr>
            </w:pPr>
            <w:r>
              <w:rPr>
                <w:rFonts w:ascii="Arial" w:cs="Arial" w:eastAsia="Arial" w:hAnsi="Arial"/>
                <w:sz w:val="14"/>
                <w:szCs w:val="14"/>
                <w:color w:val="auto"/>
                <w:w w:val="76"/>
              </w:rPr>
              <w:t>$</w:t>
            </w:r>
          </w:p>
        </w:tc>
        <w:tc>
          <w:tcPr>
            <w:tcW w:w="78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w w:val="98"/>
              </w:rPr>
              <w:t>(95,181,087</w:t>
            </w:r>
          </w:p>
        </w:tc>
        <w:tc>
          <w:tcPr>
            <w:tcW w:w="100" w:type="dxa"/>
            <w:vAlign w:val="bottom"/>
          </w:tcPr>
          <w:p>
            <w:pPr>
              <w:jc w:val="right"/>
              <w:ind w:right="19"/>
              <w:spacing w:after="0"/>
              <w:rPr>
                <w:sz w:val="20"/>
                <w:szCs w:val="20"/>
                <w:color w:val="auto"/>
              </w:rPr>
            </w:pPr>
            <w:r>
              <w:rPr>
                <w:rFonts w:ascii="Arial" w:cs="Arial" w:eastAsia="Arial" w:hAnsi="Arial"/>
                <w:sz w:val="8"/>
                <w:szCs w:val="8"/>
                <w:color w:val="auto"/>
                <w:w w:val="73"/>
              </w:rPr>
              <w: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88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The accompanying notes are an integral part of these unaudited condensed consolidated financial statements.</w:t>
      </w:r>
    </w:p>
    <w:p>
      <w:pPr>
        <w:spacing w:after="0" w:line="158"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040"/>
          </w:cols>
          <w:pgMar w:left="440" w:top="270" w:right="419" w:bottom="1440" w:gutter="0" w:footer="0" w:header="0"/>
        </w:sectPr>
      </w:pPr>
    </w:p>
    <w:bookmarkStart w:id="27" w:name="page28"/>
    <w:bookmarkEnd w:id="27"/>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SiriusDecisions, Inc. and Subsidiaries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Unaudited Condensed Consolidated Statements of Cash Flows for the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Nine Months Ended December 31, 2018 and 2017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40005</wp:posOffset>
            </wp:positionV>
            <wp:extent cx="6997700" cy="889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6997700" cy="8890"/>
                    </a:xfrm>
                    <a:prstGeom prst="rect">
                      <a:avLst/>
                    </a:prstGeom>
                    <a:noFill/>
                  </pic:spPr>
                </pic:pic>
              </a:graphicData>
            </a:graphic>
          </wp:anchor>
        </w:drawing>
      </w:r>
    </w:p>
    <w:p>
      <w:pPr>
        <w:spacing w:after="0" w:line="318"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7100" w:type="dxa"/>
            <w:vAlign w:val="bottom"/>
          </w:tcPr>
          <w:p>
            <w:pPr>
              <w:spacing w:after="0"/>
              <w:rPr>
                <w:sz w:val="14"/>
                <w:szCs w:val="14"/>
                <w:color w:val="auto"/>
              </w:rPr>
            </w:pPr>
          </w:p>
        </w:tc>
        <w:tc>
          <w:tcPr>
            <w:tcW w:w="17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20" w:type="dxa"/>
            <w:vAlign w:val="bottom"/>
          </w:tcPr>
          <w:p>
            <w:pPr>
              <w:jc w:val="right"/>
              <w:ind w:right="231"/>
              <w:spacing w:after="0"/>
              <w:rPr>
                <w:sz w:val="20"/>
                <w:szCs w:val="20"/>
                <w:color w:val="auto"/>
              </w:rPr>
            </w:pPr>
            <w:r>
              <w:rPr>
                <w:rFonts w:ascii="Arial" w:cs="Arial" w:eastAsia="Arial" w:hAnsi="Arial"/>
                <w:sz w:val="14"/>
                <w:szCs w:val="14"/>
                <w:b w:val="1"/>
                <w:bCs w:val="1"/>
                <w:color w:val="auto"/>
              </w:rPr>
              <w:t>2018</w:t>
            </w:r>
          </w:p>
        </w:tc>
        <w:tc>
          <w:tcPr>
            <w:tcW w:w="1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80" w:type="dxa"/>
            <w:vAlign w:val="bottom"/>
          </w:tcPr>
          <w:p>
            <w:pPr>
              <w:jc w:val="right"/>
              <w:ind w:right="211"/>
              <w:spacing w:after="0"/>
              <w:rPr>
                <w:sz w:val="20"/>
                <w:szCs w:val="20"/>
                <w:color w:val="auto"/>
              </w:rPr>
            </w:pPr>
            <w:r>
              <w:rPr>
                <w:rFonts w:ascii="Arial" w:cs="Arial" w:eastAsia="Arial" w:hAnsi="Arial"/>
                <w:sz w:val="14"/>
                <w:szCs w:val="14"/>
                <w:b w:val="1"/>
                <w:bCs w:val="1"/>
                <w:color w:val="auto"/>
              </w:rPr>
              <w:t>2017</w:t>
            </w:r>
          </w:p>
        </w:tc>
        <w:tc>
          <w:tcPr>
            <w:tcW w:w="120" w:type="dxa"/>
            <w:vAlign w:val="bottom"/>
          </w:tcPr>
          <w:p>
            <w:pPr>
              <w:spacing w:after="0"/>
              <w:rPr>
                <w:sz w:val="14"/>
                <w:szCs w:val="14"/>
                <w:color w:val="auto"/>
              </w:rPr>
            </w:pPr>
          </w:p>
        </w:tc>
      </w:tr>
      <w:tr>
        <w:trPr>
          <w:trHeight w:val="216"/>
        </w:trPr>
        <w:tc>
          <w:tcPr>
            <w:tcW w:w="20" w:type="dxa"/>
            <w:vAlign w:val="bottom"/>
          </w:tcPr>
          <w:p>
            <w:pPr>
              <w:spacing w:after="0"/>
              <w:rPr>
                <w:sz w:val="18"/>
                <w:szCs w:val="18"/>
                <w:color w:val="auto"/>
              </w:rPr>
            </w:pPr>
          </w:p>
        </w:tc>
        <w:tc>
          <w:tcPr>
            <w:tcW w:w="71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Cash flows from operating activities</w:t>
            </w:r>
          </w:p>
        </w:tc>
        <w:tc>
          <w:tcPr>
            <w:tcW w:w="17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7100" w:type="dxa"/>
            <w:vAlign w:val="bottom"/>
          </w:tcPr>
          <w:p>
            <w:pPr>
              <w:spacing w:after="0"/>
              <w:rPr>
                <w:sz w:val="20"/>
                <w:szCs w:val="20"/>
                <w:color w:val="auto"/>
              </w:rPr>
            </w:pPr>
            <w:r>
              <w:rPr>
                <w:rFonts w:ascii="Arial" w:cs="Arial" w:eastAsia="Arial" w:hAnsi="Arial"/>
                <w:sz w:val="18"/>
                <w:szCs w:val="18"/>
                <w:color w:val="auto"/>
              </w:rPr>
              <w:t>Net income</w:t>
            </w:r>
          </w:p>
        </w:tc>
        <w:tc>
          <w:tcPr>
            <w:tcW w:w="17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20" w:type="dxa"/>
            <w:vAlign w:val="bottom"/>
          </w:tcPr>
          <w:p>
            <w:pPr>
              <w:jc w:val="right"/>
              <w:spacing w:after="0"/>
              <w:rPr>
                <w:sz w:val="20"/>
                <w:szCs w:val="20"/>
                <w:color w:val="auto"/>
              </w:rPr>
            </w:pPr>
            <w:r>
              <w:rPr>
                <w:rFonts w:ascii="Arial" w:cs="Arial" w:eastAsia="Arial" w:hAnsi="Arial"/>
                <w:sz w:val="18"/>
                <w:szCs w:val="18"/>
                <w:color w:val="auto"/>
                <w:w w:val="99"/>
              </w:rPr>
              <w:t>2,843,976</w:t>
            </w:r>
          </w:p>
        </w:tc>
        <w:tc>
          <w:tcPr>
            <w:tcW w:w="180" w:type="dxa"/>
            <w:vAlign w:val="bottom"/>
          </w:tcPr>
          <w:p>
            <w:pPr>
              <w:spacing w:after="0"/>
              <w:rPr>
                <w:sz w:val="18"/>
                <w:szCs w:val="18"/>
                <w:color w:val="auto"/>
              </w:rPr>
            </w:pP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463,806</w:t>
            </w:r>
          </w:p>
        </w:tc>
        <w:tc>
          <w:tcPr>
            <w:tcW w:w="1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7100" w:type="dxa"/>
            <w:vAlign w:val="bottom"/>
            <w:shd w:val="clear" w:color="auto" w:fill="CCEEFF"/>
          </w:tcPr>
          <w:p>
            <w:pPr>
              <w:spacing w:after="0"/>
              <w:rPr>
                <w:sz w:val="20"/>
                <w:szCs w:val="20"/>
                <w:color w:val="auto"/>
              </w:rPr>
            </w:pPr>
            <w:r>
              <w:rPr>
                <w:rFonts w:ascii="Arial" w:cs="Arial" w:eastAsia="Arial" w:hAnsi="Arial"/>
                <w:sz w:val="18"/>
                <w:szCs w:val="18"/>
                <w:color w:val="auto"/>
              </w:rPr>
              <w:t>Adjustments to reconcile net income to net cash used in operating activities</w:t>
            </w:r>
          </w:p>
        </w:tc>
        <w:tc>
          <w:tcPr>
            <w:tcW w:w="17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7100" w:type="dxa"/>
            <w:vAlign w:val="bottom"/>
          </w:tcPr>
          <w:p>
            <w:pPr>
              <w:ind w:left="340"/>
              <w:spacing w:after="0"/>
              <w:rPr>
                <w:sz w:val="20"/>
                <w:szCs w:val="20"/>
                <w:color w:val="auto"/>
              </w:rPr>
            </w:pPr>
            <w:r>
              <w:rPr>
                <w:rFonts w:ascii="Arial" w:cs="Arial" w:eastAsia="Arial" w:hAnsi="Arial"/>
                <w:sz w:val="18"/>
                <w:szCs w:val="18"/>
                <w:color w:val="auto"/>
              </w:rPr>
              <w:t>Depreciation and amortization expense</w:t>
            </w:r>
          </w:p>
        </w:tc>
        <w:tc>
          <w:tcPr>
            <w:tcW w:w="17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w w:val="99"/>
              </w:rPr>
              <w:t>1,347,921</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w w:val="94"/>
              </w:rPr>
              <w:t>1,304,754</w:t>
            </w:r>
          </w:p>
        </w:tc>
        <w:tc>
          <w:tcPr>
            <w:tcW w:w="1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71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Stock-based compensation</w:t>
            </w:r>
          </w:p>
        </w:tc>
        <w:tc>
          <w:tcPr>
            <w:tcW w:w="17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517,417</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308,714</w:t>
            </w:r>
          </w:p>
        </w:tc>
        <w:tc>
          <w:tcPr>
            <w:tcW w:w="12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7100" w:type="dxa"/>
            <w:vAlign w:val="bottom"/>
          </w:tcPr>
          <w:p>
            <w:pPr>
              <w:ind w:left="340"/>
              <w:spacing w:after="0"/>
              <w:rPr>
                <w:sz w:val="20"/>
                <w:szCs w:val="20"/>
                <w:color w:val="auto"/>
              </w:rPr>
            </w:pPr>
            <w:r>
              <w:rPr>
                <w:rFonts w:ascii="Arial" w:cs="Arial" w:eastAsia="Arial" w:hAnsi="Arial"/>
                <w:sz w:val="18"/>
                <w:szCs w:val="18"/>
                <w:color w:val="auto"/>
              </w:rPr>
              <w:t>Allowance for doubtful accounts and bad debt expense</w:t>
            </w:r>
          </w:p>
        </w:tc>
        <w:tc>
          <w:tcPr>
            <w:tcW w:w="17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383,816</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234,925</w:t>
            </w:r>
          </w:p>
        </w:tc>
        <w:tc>
          <w:tcPr>
            <w:tcW w:w="1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71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Deferred rent</w:t>
            </w:r>
          </w:p>
        </w:tc>
        <w:tc>
          <w:tcPr>
            <w:tcW w:w="17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816,560</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52,729</w:t>
            </w:r>
          </w:p>
        </w:tc>
        <w:tc>
          <w:tcPr>
            <w:tcW w:w="12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7100" w:type="dxa"/>
            <w:vAlign w:val="bottom"/>
          </w:tcPr>
          <w:p>
            <w:pPr>
              <w:ind w:left="340"/>
              <w:spacing w:after="0"/>
              <w:rPr>
                <w:sz w:val="20"/>
                <w:szCs w:val="20"/>
                <w:color w:val="auto"/>
              </w:rPr>
            </w:pPr>
            <w:r>
              <w:rPr>
                <w:rFonts w:ascii="Arial" w:cs="Arial" w:eastAsia="Arial" w:hAnsi="Arial"/>
                <w:sz w:val="18"/>
                <w:szCs w:val="18"/>
                <w:color w:val="auto"/>
              </w:rPr>
              <w:t>Foreign currency losses</w:t>
            </w:r>
          </w:p>
        </w:tc>
        <w:tc>
          <w:tcPr>
            <w:tcW w:w="17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346,865</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55,646</w:t>
            </w:r>
          </w:p>
        </w:tc>
        <w:tc>
          <w:tcPr>
            <w:tcW w:w="1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71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Change in operating assets and liabilities</w:t>
            </w:r>
          </w:p>
        </w:tc>
        <w:tc>
          <w:tcPr>
            <w:tcW w:w="17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7100" w:type="dxa"/>
            <w:vAlign w:val="bottom"/>
          </w:tcPr>
          <w:p>
            <w:pPr>
              <w:ind w:left="700"/>
              <w:spacing w:after="0"/>
              <w:rPr>
                <w:sz w:val="20"/>
                <w:szCs w:val="20"/>
                <w:color w:val="auto"/>
              </w:rPr>
            </w:pPr>
            <w:r>
              <w:rPr>
                <w:rFonts w:ascii="Arial" w:cs="Arial" w:eastAsia="Arial" w:hAnsi="Arial"/>
                <w:sz w:val="18"/>
                <w:szCs w:val="18"/>
                <w:color w:val="auto"/>
              </w:rPr>
              <w:t>Accounts receivable</w:t>
            </w:r>
          </w:p>
        </w:tc>
        <w:tc>
          <w:tcPr>
            <w:tcW w:w="17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0" w:type="dxa"/>
            <w:vAlign w:val="bottom"/>
            <w:gridSpan w:val="2"/>
          </w:tcPr>
          <w:p>
            <w:pPr>
              <w:jc w:val="right"/>
              <w:ind w:right="120"/>
              <w:spacing w:after="0"/>
              <w:rPr>
                <w:sz w:val="20"/>
                <w:szCs w:val="20"/>
                <w:color w:val="auto"/>
              </w:rPr>
            </w:pPr>
            <w:r>
              <w:rPr>
                <w:rFonts w:ascii="Arial" w:cs="Arial" w:eastAsia="Arial" w:hAnsi="Arial"/>
                <w:sz w:val="18"/>
                <w:szCs w:val="18"/>
                <w:color w:val="auto"/>
                <w:w w:val="93"/>
              </w:rPr>
              <w:t>(1,314,248)</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gridSpan w:val="2"/>
          </w:tcPr>
          <w:p>
            <w:pPr>
              <w:jc w:val="right"/>
              <w:ind w:right="60"/>
              <w:spacing w:after="0"/>
              <w:rPr>
                <w:sz w:val="20"/>
                <w:szCs w:val="20"/>
                <w:color w:val="auto"/>
              </w:rPr>
            </w:pPr>
            <w:r>
              <w:rPr>
                <w:rFonts w:ascii="Arial" w:cs="Arial" w:eastAsia="Arial" w:hAnsi="Arial"/>
                <w:sz w:val="18"/>
                <w:szCs w:val="18"/>
                <w:color w:val="auto"/>
                <w:w w:val="89"/>
              </w:rPr>
              <w:t>(1,683,994)</w:t>
            </w:r>
          </w:p>
        </w:tc>
      </w:tr>
      <w:tr>
        <w:trPr>
          <w:trHeight w:val="216"/>
        </w:trPr>
        <w:tc>
          <w:tcPr>
            <w:tcW w:w="20" w:type="dxa"/>
            <w:vAlign w:val="bottom"/>
          </w:tcPr>
          <w:p>
            <w:pPr>
              <w:spacing w:after="0"/>
              <w:rPr>
                <w:sz w:val="18"/>
                <w:szCs w:val="18"/>
                <w:color w:val="auto"/>
              </w:rPr>
            </w:pPr>
          </w:p>
        </w:tc>
        <w:tc>
          <w:tcPr>
            <w:tcW w:w="7100" w:type="dxa"/>
            <w:vAlign w:val="bottom"/>
            <w:shd w:val="clear" w:color="auto" w:fill="CCEEFF"/>
          </w:tcPr>
          <w:p>
            <w:pPr>
              <w:ind w:left="700"/>
              <w:spacing w:after="0"/>
              <w:rPr>
                <w:sz w:val="20"/>
                <w:szCs w:val="20"/>
                <w:color w:val="auto"/>
              </w:rPr>
            </w:pPr>
            <w:r>
              <w:rPr>
                <w:rFonts w:ascii="Arial" w:cs="Arial" w:eastAsia="Arial" w:hAnsi="Arial"/>
                <w:sz w:val="18"/>
                <w:szCs w:val="18"/>
                <w:color w:val="auto"/>
              </w:rPr>
              <w:t>Prepaid expenses and other current assets</w:t>
            </w:r>
          </w:p>
        </w:tc>
        <w:tc>
          <w:tcPr>
            <w:tcW w:w="17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(387,148)</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1,194,719</w:t>
            </w:r>
          </w:p>
        </w:tc>
        <w:tc>
          <w:tcPr>
            <w:tcW w:w="12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7100" w:type="dxa"/>
            <w:vAlign w:val="bottom"/>
          </w:tcPr>
          <w:p>
            <w:pPr>
              <w:ind w:left="700"/>
              <w:spacing w:after="0"/>
              <w:rPr>
                <w:sz w:val="20"/>
                <w:szCs w:val="20"/>
                <w:color w:val="auto"/>
              </w:rPr>
            </w:pPr>
            <w:r>
              <w:rPr>
                <w:rFonts w:ascii="Arial" w:cs="Arial" w:eastAsia="Arial" w:hAnsi="Arial"/>
                <w:sz w:val="18"/>
                <w:szCs w:val="18"/>
                <w:color w:val="auto"/>
              </w:rPr>
              <w:t>Other assets</w:t>
            </w:r>
          </w:p>
        </w:tc>
        <w:tc>
          <w:tcPr>
            <w:tcW w:w="17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0" w:type="dxa"/>
            <w:vAlign w:val="bottom"/>
            <w:gridSpan w:val="2"/>
          </w:tcPr>
          <w:p>
            <w:pPr>
              <w:jc w:val="right"/>
              <w:ind w:right="120"/>
              <w:spacing w:after="0"/>
              <w:rPr>
                <w:sz w:val="20"/>
                <w:szCs w:val="20"/>
                <w:color w:val="auto"/>
              </w:rPr>
            </w:pPr>
            <w:r>
              <w:rPr>
                <w:rFonts w:ascii="Arial" w:cs="Arial" w:eastAsia="Arial" w:hAnsi="Arial"/>
                <w:sz w:val="18"/>
                <w:szCs w:val="18"/>
                <w:color w:val="auto"/>
              </w:rPr>
              <w:t>(18,473)</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gridSpan w:val="2"/>
          </w:tcPr>
          <w:p>
            <w:pPr>
              <w:jc w:val="right"/>
              <w:ind w:right="60"/>
              <w:spacing w:after="0"/>
              <w:rPr>
                <w:sz w:val="20"/>
                <w:szCs w:val="20"/>
                <w:color w:val="auto"/>
              </w:rPr>
            </w:pPr>
            <w:r>
              <w:rPr>
                <w:rFonts w:ascii="Arial" w:cs="Arial" w:eastAsia="Arial" w:hAnsi="Arial"/>
                <w:sz w:val="18"/>
                <w:szCs w:val="18"/>
                <w:color w:val="auto"/>
              </w:rPr>
              <w:t>(292,569)</w:t>
            </w:r>
          </w:p>
        </w:tc>
      </w:tr>
      <w:tr>
        <w:trPr>
          <w:trHeight w:val="216"/>
        </w:trPr>
        <w:tc>
          <w:tcPr>
            <w:tcW w:w="20" w:type="dxa"/>
            <w:vAlign w:val="bottom"/>
          </w:tcPr>
          <w:p>
            <w:pPr>
              <w:spacing w:after="0"/>
              <w:rPr>
                <w:sz w:val="18"/>
                <w:szCs w:val="18"/>
                <w:color w:val="auto"/>
              </w:rPr>
            </w:pPr>
          </w:p>
        </w:tc>
        <w:tc>
          <w:tcPr>
            <w:tcW w:w="7100" w:type="dxa"/>
            <w:vAlign w:val="bottom"/>
            <w:shd w:val="clear" w:color="auto" w:fill="CCEEFF"/>
          </w:tcPr>
          <w:p>
            <w:pPr>
              <w:ind w:left="700"/>
              <w:spacing w:after="0"/>
              <w:rPr>
                <w:sz w:val="20"/>
                <w:szCs w:val="20"/>
                <w:color w:val="auto"/>
              </w:rPr>
            </w:pPr>
            <w:r>
              <w:rPr>
                <w:rFonts w:ascii="Arial" w:cs="Arial" w:eastAsia="Arial" w:hAnsi="Arial"/>
                <w:sz w:val="18"/>
                <w:szCs w:val="18"/>
                <w:color w:val="auto"/>
              </w:rPr>
              <w:t>Accounts payable and accrued expenses</w:t>
            </w:r>
          </w:p>
        </w:tc>
        <w:tc>
          <w:tcPr>
            <w:tcW w:w="17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93"/>
              </w:rPr>
              <w:t>(1,006,121)</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89"/>
              </w:rPr>
              <w:t>(1,732,903)</w:t>
            </w:r>
          </w:p>
        </w:tc>
      </w:tr>
      <w:tr>
        <w:trPr>
          <w:trHeight w:val="216"/>
        </w:trPr>
        <w:tc>
          <w:tcPr>
            <w:tcW w:w="20" w:type="dxa"/>
            <w:vAlign w:val="bottom"/>
          </w:tcPr>
          <w:p>
            <w:pPr>
              <w:spacing w:after="0"/>
              <w:rPr>
                <w:sz w:val="18"/>
                <w:szCs w:val="18"/>
                <w:color w:val="auto"/>
              </w:rPr>
            </w:pPr>
          </w:p>
        </w:tc>
        <w:tc>
          <w:tcPr>
            <w:tcW w:w="7100" w:type="dxa"/>
            <w:vAlign w:val="bottom"/>
          </w:tcPr>
          <w:p>
            <w:pPr>
              <w:ind w:left="700"/>
              <w:spacing w:after="0"/>
              <w:rPr>
                <w:sz w:val="20"/>
                <w:szCs w:val="20"/>
                <w:color w:val="auto"/>
              </w:rPr>
            </w:pPr>
            <w:r>
              <w:rPr>
                <w:rFonts w:ascii="Arial" w:cs="Arial" w:eastAsia="Arial" w:hAnsi="Arial"/>
                <w:sz w:val="18"/>
                <w:szCs w:val="18"/>
                <w:color w:val="auto"/>
              </w:rPr>
              <w:t>Deferred revenue</w:t>
            </w:r>
          </w:p>
        </w:tc>
        <w:tc>
          <w:tcPr>
            <w:tcW w:w="17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0" w:type="dxa"/>
            <w:vAlign w:val="bottom"/>
            <w:gridSpan w:val="2"/>
          </w:tcPr>
          <w:p>
            <w:pPr>
              <w:jc w:val="right"/>
              <w:ind w:right="120"/>
              <w:spacing w:after="0"/>
              <w:rPr>
                <w:sz w:val="20"/>
                <w:szCs w:val="20"/>
                <w:color w:val="auto"/>
              </w:rPr>
            </w:pPr>
            <w:r>
              <w:rPr>
                <w:rFonts w:ascii="Arial" w:cs="Arial" w:eastAsia="Arial" w:hAnsi="Arial"/>
                <w:sz w:val="18"/>
                <w:szCs w:val="18"/>
                <w:color w:val="auto"/>
                <w:w w:val="93"/>
              </w:rPr>
              <w:t>(7,259,909)</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gridSpan w:val="2"/>
          </w:tcPr>
          <w:p>
            <w:pPr>
              <w:jc w:val="right"/>
              <w:ind w:right="60"/>
              <w:spacing w:after="0"/>
              <w:rPr>
                <w:sz w:val="20"/>
                <w:szCs w:val="20"/>
                <w:color w:val="auto"/>
              </w:rPr>
            </w:pPr>
            <w:r>
              <w:rPr>
                <w:rFonts w:ascii="Arial" w:cs="Arial" w:eastAsia="Arial" w:hAnsi="Arial"/>
                <w:sz w:val="18"/>
                <w:szCs w:val="18"/>
                <w:color w:val="auto"/>
                <w:w w:val="89"/>
              </w:rPr>
              <w:t>(7,058,564)</w:t>
            </w:r>
          </w:p>
        </w:tc>
      </w:tr>
      <w:tr>
        <w:trPr>
          <w:trHeight w:val="27"/>
        </w:trPr>
        <w:tc>
          <w:tcPr>
            <w:tcW w:w="20" w:type="dxa"/>
            <w:vAlign w:val="bottom"/>
          </w:tcPr>
          <w:p>
            <w:pPr>
              <w:spacing w:after="0"/>
              <w:rPr>
                <w:sz w:val="2"/>
                <w:szCs w:val="2"/>
                <w:color w:val="auto"/>
              </w:rPr>
            </w:pPr>
          </w:p>
        </w:tc>
        <w:tc>
          <w:tcPr>
            <w:tcW w:w="7100" w:type="dxa"/>
            <w:vAlign w:val="bottom"/>
          </w:tcPr>
          <w:p>
            <w:pPr>
              <w:spacing w:after="0"/>
              <w:rPr>
                <w:sz w:val="2"/>
                <w:szCs w:val="2"/>
                <w:color w:val="auto"/>
              </w:rPr>
            </w:pPr>
          </w:p>
        </w:tc>
        <w:tc>
          <w:tcPr>
            <w:tcW w:w="17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r>
      <w:tr>
        <w:trPr>
          <w:trHeight w:val="216"/>
        </w:trPr>
        <w:tc>
          <w:tcPr>
            <w:tcW w:w="20" w:type="dxa"/>
            <w:vAlign w:val="bottom"/>
          </w:tcPr>
          <w:p>
            <w:pPr>
              <w:spacing w:after="0"/>
              <w:rPr>
                <w:sz w:val="18"/>
                <w:szCs w:val="18"/>
                <w:color w:val="auto"/>
              </w:rPr>
            </w:pPr>
          </w:p>
        </w:tc>
        <w:tc>
          <w:tcPr>
            <w:tcW w:w="7100" w:type="dxa"/>
            <w:vAlign w:val="bottom"/>
            <w:shd w:val="clear" w:color="auto" w:fill="CCEEFF"/>
          </w:tcPr>
          <w:p>
            <w:pPr>
              <w:ind w:left="1060"/>
              <w:spacing w:after="0"/>
              <w:rPr>
                <w:sz w:val="20"/>
                <w:szCs w:val="20"/>
                <w:color w:val="auto"/>
              </w:rPr>
            </w:pPr>
            <w:r>
              <w:rPr>
                <w:rFonts w:ascii="Arial" w:cs="Arial" w:eastAsia="Arial" w:hAnsi="Arial"/>
                <w:sz w:val="18"/>
                <w:szCs w:val="18"/>
                <w:color w:val="auto"/>
              </w:rPr>
              <w:t>Net cash used in operating activities</w:t>
            </w:r>
          </w:p>
        </w:tc>
        <w:tc>
          <w:tcPr>
            <w:tcW w:w="17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93"/>
              </w:rPr>
              <w:t>(3,729,344)</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89"/>
              </w:rPr>
              <w:t>(7,152,737)</w:t>
            </w:r>
          </w:p>
        </w:tc>
      </w:tr>
      <w:tr>
        <w:trPr>
          <w:trHeight w:val="223"/>
        </w:trPr>
        <w:tc>
          <w:tcPr>
            <w:tcW w:w="7120" w:type="dxa"/>
            <w:vAlign w:val="bottom"/>
            <w:gridSpan w:val="2"/>
          </w:tcPr>
          <w:p>
            <w:pPr>
              <w:spacing w:after="0"/>
              <w:rPr>
                <w:sz w:val="20"/>
                <w:szCs w:val="20"/>
                <w:color w:val="auto"/>
              </w:rPr>
            </w:pPr>
            <w:r>
              <w:rPr>
                <w:rFonts w:ascii="Arial" w:cs="Arial" w:eastAsia="Arial" w:hAnsi="Arial"/>
                <w:sz w:val="18"/>
                <w:szCs w:val="18"/>
                <w:b w:val="1"/>
                <w:bCs w:val="1"/>
                <w:color w:val="auto"/>
              </w:rPr>
              <w:t>Cash flows from investing activities</w:t>
            </w:r>
          </w:p>
        </w:tc>
        <w:tc>
          <w:tcPr>
            <w:tcW w:w="170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820" w:type="dxa"/>
            <w:vAlign w:val="bottom"/>
            <w:tcBorders>
              <w:top w:val="single" w:sz="8" w:color="auto"/>
            </w:tcBorders>
          </w:tcPr>
          <w:p>
            <w:pPr>
              <w:spacing w:after="0"/>
              <w:rPr>
                <w:sz w:val="19"/>
                <w:szCs w:val="19"/>
                <w:color w:val="auto"/>
              </w:rPr>
            </w:pP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78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7100" w:type="dxa"/>
            <w:vAlign w:val="bottom"/>
            <w:shd w:val="clear" w:color="auto" w:fill="CCEEFF"/>
          </w:tcPr>
          <w:p>
            <w:pPr>
              <w:spacing w:after="0"/>
              <w:rPr>
                <w:sz w:val="20"/>
                <w:szCs w:val="20"/>
                <w:color w:val="auto"/>
              </w:rPr>
            </w:pPr>
            <w:r>
              <w:rPr>
                <w:rFonts w:ascii="Arial" w:cs="Arial" w:eastAsia="Arial" w:hAnsi="Arial"/>
                <w:sz w:val="18"/>
                <w:szCs w:val="18"/>
                <w:color w:val="auto"/>
              </w:rPr>
              <w:t>Additions of property and equipment and capitalized software</w:t>
            </w:r>
          </w:p>
        </w:tc>
        <w:tc>
          <w:tcPr>
            <w:tcW w:w="17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93"/>
              </w:rPr>
              <w:t>(2,212,209)</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(891,546)</w:t>
            </w:r>
          </w:p>
        </w:tc>
      </w:tr>
      <w:tr>
        <w:trPr>
          <w:trHeight w:val="223"/>
        </w:trPr>
        <w:tc>
          <w:tcPr>
            <w:tcW w:w="20" w:type="dxa"/>
            <w:vAlign w:val="bottom"/>
          </w:tcPr>
          <w:p>
            <w:pPr>
              <w:spacing w:after="0"/>
              <w:rPr>
                <w:sz w:val="19"/>
                <w:szCs w:val="19"/>
                <w:color w:val="auto"/>
              </w:rPr>
            </w:pPr>
          </w:p>
        </w:tc>
        <w:tc>
          <w:tcPr>
            <w:tcW w:w="7100" w:type="dxa"/>
            <w:vAlign w:val="bottom"/>
          </w:tcPr>
          <w:p>
            <w:pPr>
              <w:spacing w:after="0"/>
              <w:rPr>
                <w:sz w:val="20"/>
                <w:szCs w:val="20"/>
                <w:color w:val="auto"/>
              </w:rPr>
            </w:pPr>
            <w:r>
              <w:rPr>
                <w:rFonts w:ascii="Arial" w:cs="Arial" w:eastAsia="Arial" w:hAnsi="Arial"/>
                <w:sz w:val="18"/>
                <w:szCs w:val="18"/>
                <w:color w:val="auto"/>
              </w:rPr>
              <w:t>Investment in certificates of deposit - restricted</w:t>
            </w:r>
          </w:p>
        </w:tc>
        <w:tc>
          <w:tcPr>
            <w:tcW w:w="170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1,498</w:t>
            </w:r>
          </w:p>
        </w:tc>
        <w:tc>
          <w:tcPr>
            <w:tcW w:w="12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7100" w:type="dxa"/>
            <w:vAlign w:val="bottom"/>
            <w:shd w:val="clear" w:color="auto" w:fill="CCEEFF"/>
          </w:tcPr>
          <w:p>
            <w:pPr>
              <w:ind w:left="1060"/>
              <w:spacing w:after="0"/>
              <w:rPr>
                <w:sz w:val="20"/>
                <w:szCs w:val="20"/>
                <w:color w:val="auto"/>
              </w:rPr>
            </w:pPr>
            <w:r>
              <w:rPr>
                <w:rFonts w:ascii="Arial" w:cs="Arial" w:eastAsia="Arial" w:hAnsi="Arial"/>
                <w:sz w:val="18"/>
                <w:szCs w:val="18"/>
                <w:color w:val="auto"/>
              </w:rPr>
              <w:t>Net cash used in investing activities</w:t>
            </w:r>
          </w:p>
        </w:tc>
        <w:tc>
          <w:tcPr>
            <w:tcW w:w="17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93"/>
              </w:rPr>
              <w:t>(2,212,209)</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(890,048)</w:t>
            </w:r>
          </w:p>
        </w:tc>
      </w:tr>
      <w:tr>
        <w:trPr>
          <w:trHeight w:val="223"/>
        </w:trPr>
        <w:tc>
          <w:tcPr>
            <w:tcW w:w="7120" w:type="dxa"/>
            <w:vAlign w:val="bottom"/>
            <w:gridSpan w:val="2"/>
          </w:tcPr>
          <w:p>
            <w:pPr>
              <w:spacing w:after="0"/>
              <w:rPr>
                <w:sz w:val="20"/>
                <w:szCs w:val="20"/>
                <w:color w:val="auto"/>
              </w:rPr>
            </w:pPr>
            <w:r>
              <w:rPr>
                <w:rFonts w:ascii="Arial" w:cs="Arial" w:eastAsia="Arial" w:hAnsi="Arial"/>
                <w:sz w:val="18"/>
                <w:szCs w:val="18"/>
                <w:b w:val="1"/>
                <w:bCs w:val="1"/>
                <w:color w:val="auto"/>
              </w:rPr>
              <w:t>Cash flows from financing activities</w:t>
            </w:r>
          </w:p>
        </w:tc>
        <w:tc>
          <w:tcPr>
            <w:tcW w:w="170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820" w:type="dxa"/>
            <w:vAlign w:val="bottom"/>
            <w:tcBorders>
              <w:top w:val="single" w:sz="8" w:color="auto"/>
            </w:tcBorders>
          </w:tcPr>
          <w:p>
            <w:pPr>
              <w:spacing w:after="0"/>
              <w:rPr>
                <w:sz w:val="19"/>
                <w:szCs w:val="19"/>
                <w:color w:val="auto"/>
              </w:rPr>
            </w:pP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78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7100" w:type="dxa"/>
            <w:vAlign w:val="bottom"/>
            <w:shd w:val="clear" w:color="auto" w:fill="CCEEFF"/>
          </w:tcPr>
          <w:p>
            <w:pPr>
              <w:spacing w:after="0"/>
              <w:rPr>
                <w:sz w:val="20"/>
                <w:szCs w:val="20"/>
                <w:color w:val="auto"/>
              </w:rPr>
            </w:pPr>
            <w:r>
              <w:rPr>
                <w:rFonts w:ascii="Arial" w:cs="Arial" w:eastAsia="Arial" w:hAnsi="Arial"/>
                <w:sz w:val="18"/>
                <w:szCs w:val="18"/>
                <w:color w:val="auto"/>
              </w:rPr>
              <w:t>Proceeds from exercise of stock options</w:t>
            </w:r>
          </w:p>
        </w:tc>
        <w:tc>
          <w:tcPr>
            <w:tcW w:w="17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129,344</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362,216</w:t>
            </w:r>
          </w:p>
        </w:tc>
        <w:tc>
          <w:tcPr>
            <w:tcW w:w="120" w:type="dxa"/>
            <w:vAlign w:val="bottom"/>
            <w:shd w:val="clear" w:color="auto" w:fill="CCEEFF"/>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7100" w:type="dxa"/>
            <w:vAlign w:val="bottom"/>
          </w:tcPr>
          <w:p>
            <w:pPr>
              <w:spacing w:after="0"/>
              <w:rPr>
                <w:sz w:val="20"/>
                <w:szCs w:val="20"/>
                <w:color w:val="auto"/>
              </w:rPr>
            </w:pPr>
            <w:r>
              <w:rPr>
                <w:rFonts w:ascii="Arial" w:cs="Arial" w:eastAsia="Arial" w:hAnsi="Arial"/>
                <w:sz w:val="18"/>
                <w:szCs w:val="18"/>
                <w:color w:val="auto"/>
              </w:rPr>
              <w:t>Proceeds from line of credit, net</w:t>
            </w:r>
          </w:p>
        </w:tc>
        <w:tc>
          <w:tcPr>
            <w:tcW w:w="17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500,000</w:t>
            </w:r>
          </w:p>
        </w:tc>
        <w:tc>
          <w:tcPr>
            <w:tcW w:w="12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7100" w:type="dxa"/>
            <w:vAlign w:val="bottom"/>
            <w:shd w:val="clear" w:color="auto" w:fill="CCEEFF"/>
          </w:tcPr>
          <w:p>
            <w:pPr>
              <w:ind w:left="1060"/>
              <w:spacing w:after="0"/>
              <w:rPr>
                <w:sz w:val="20"/>
                <w:szCs w:val="20"/>
                <w:color w:val="auto"/>
              </w:rPr>
            </w:pPr>
            <w:r>
              <w:rPr>
                <w:rFonts w:ascii="Arial" w:cs="Arial" w:eastAsia="Arial" w:hAnsi="Arial"/>
                <w:sz w:val="18"/>
                <w:szCs w:val="18"/>
                <w:color w:val="auto"/>
              </w:rPr>
              <w:t>Net cash provided by financing activities</w:t>
            </w:r>
          </w:p>
        </w:tc>
        <w:tc>
          <w:tcPr>
            <w:tcW w:w="1700" w:type="dxa"/>
            <w:vAlign w:val="bottom"/>
            <w:shd w:val="clear" w:color="auto" w:fill="CCEEFF"/>
          </w:tcPr>
          <w:p>
            <w:pPr>
              <w:spacing w:after="0"/>
              <w:rPr>
                <w:sz w:val="18"/>
                <w:szCs w:val="18"/>
                <w:color w:val="auto"/>
              </w:rPr>
            </w:pPr>
          </w:p>
        </w:tc>
        <w:tc>
          <w:tcPr>
            <w:tcW w:w="80" w:type="dxa"/>
            <w:vAlign w:val="bottom"/>
            <w:tcBorders>
              <w:top w:val="single" w:sz="8" w:color="auto"/>
              <w:bottom w:val="single" w:sz="8" w:color="auto"/>
            </w:tcBorders>
            <w:shd w:val="clear" w:color="auto" w:fill="CCEEFF"/>
          </w:tcPr>
          <w:p>
            <w:pPr>
              <w:spacing w:after="0"/>
              <w:rPr>
                <w:sz w:val="18"/>
                <w:szCs w:val="18"/>
                <w:color w:val="auto"/>
              </w:rPr>
            </w:pP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129,344</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spacing w:after="0"/>
              <w:rPr>
                <w:sz w:val="18"/>
                <w:szCs w:val="18"/>
                <w:color w:val="auto"/>
              </w:rPr>
            </w:pP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862,216</w:t>
            </w:r>
          </w:p>
        </w:tc>
        <w:tc>
          <w:tcPr>
            <w:tcW w:w="120" w:type="dxa"/>
            <w:vAlign w:val="bottom"/>
            <w:shd w:val="clear" w:color="auto" w:fill="CCEEFF"/>
          </w:tcPr>
          <w:p>
            <w:pPr>
              <w:spacing w:after="0"/>
              <w:rPr>
                <w:sz w:val="18"/>
                <w:szCs w:val="18"/>
                <w:color w:val="auto"/>
              </w:rPr>
            </w:pPr>
          </w:p>
        </w:tc>
      </w:tr>
      <w:tr>
        <w:trPr>
          <w:trHeight w:val="230"/>
        </w:trPr>
        <w:tc>
          <w:tcPr>
            <w:tcW w:w="7120" w:type="dxa"/>
            <w:vAlign w:val="bottom"/>
            <w:gridSpan w:val="2"/>
          </w:tcPr>
          <w:p>
            <w:pPr>
              <w:spacing w:after="0"/>
              <w:rPr>
                <w:sz w:val="20"/>
                <w:szCs w:val="20"/>
                <w:color w:val="auto"/>
              </w:rPr>
            </w:pPr>
            <w:r>
              <w:rPr>
                <w:rFonts w:ascii="Arial" w:cs="Arial" w:eastAsia="Arial" w:hAnsi="Arial"/>
                <w:sz w:val="18"/>
                <w:szCs w:val="18"/>
                <w:color w:val="auto"/>
              </w:rPr>
              <w:t>Effects of foreign currency translation on cash</w:t>
            </w:r>
          </w:p>
        </w:tc>
        <w:tc>
          <w:tcPr>
            <w:tcW w:w="1700" w:type="dxa"/>
            <w:vAlign w:val="bottom"/>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(66,503)</w:t>
            </w:r>
          </w:p>
        </w:tc>
        <w:tc>
          <w:tcPr>
            <w:tcW w:w="1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50,963</w:t>
            </w:r>
          </w:p>
        </w:tc>
        <w:tc>
          <w:tcPr>
            <w:tcW w:w="120" w:type="dxa"/>
            <w:vAlign w:val="bottom"/>
          </w:tcPr>
          <w:p>
            <w:pPr>
              <w:spacing w:after="0"/>
              <w:rPr>
                <w:sz w:val="20"/>
                <w:szCs w:val="20"/>
                <w:color w:val="auto"/>
              </w:rPr>
            </w:pPr>
          </w:p>
        </w:tc>
      </w:tr>
      <w:tr>
        <w:trPr>
          <w:trHeight w:val="216"/>
        </w:trPr>
        <w:tc>
          <w:tcPr>
            <w:tcW w:w="20" w:type="dxa"/>
            <w:vAlign w:val="bottom"/>
          </w:tcPr>
          <w:p>
            <w:pPr>
              <w:spacing w:after="0"/>
              <w:rPr>
                <w:sz w:val="18"/>
                <w:szCs w:val="18"/>
                <w:color w:val="auto"/>
              </w:rPr>
            </w:pPr>
          </w:p>
        </w:tc>
        <w:tc>
          <w:tcPr>
            <w:tcW w:w="7100" w:type="dxa"/>
            <w:vAlign w:val="bottom"/>
            <w:shd w:val="clear" w:color="auto" w:fill="CCEEFF"/>
          </w:tcPr>
          <w:p>
            <w:pPr>
              <w:ind w:left="1060"/>
              <w:spacing w:after="0"/>
              <w:rPr>
                <w:sz w:val="20"/>
                <w:szCs w:val="20"/>
                <w:color w:val="auto"/>
              </w:rPr>
            </w:pPr>
            <w:r>
              <w:rPr>
                <w:rFonts w:ascii="Arial" w:cs="Arial" w:eastAsia="Arial" w:hAnsi="Arial"/>
                <w:sz w:val="18"/>
                <w:szCs w:val="18"/>
                <w:color w:val="auto"/>
              </w:rPr>
              <w:t>Net change in cash and cash equivalents</w:t>
            </w:r>
          </w:p>
        </w:tc>
        <w:tc>
          <w:tcPr>
            <w:tcW w:w="17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93"/>
              </w:rPr>
              <w:t>(5,878,712)</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89"/>
              </w:rPr>
              <w:t>(7,129,606)</w:t>
            </w:r>
          </w:p>
        </w:tc>
      </w:tr>
      <w:tr>
        <w:trPr>
          <w:trHeight w:val="216"/>
        </w:trPr>
        <w:tc>
          <w:tcPr>
            <w:tcW w:w="20" w:type="dxa"/>
            <w:vAlign w:val="bottom"/>
          </w:tcPr>
          <w:p>
            <w:pPr>
              <w:spacing w:after="0"/>
              <w:rPr>
                <w:sz w:val="18"/>
                <w:szCs w:val="18"/>
                <w:color w:val="auto"/>
              </w:rPr>
            </w:pPr>
          </w:p>
        </w:tc>
        <w:tc>
          <w:tcPr>
            <w:tcW w:w="7100" w:type="dxa"/>
            <w:vAlign w:val="bottom"/>
          </w:tcPr>
          <w:p>
            <w:pPr>
              <w:spacing w:after="0"/>
              <w:rPr>
                <w:sz w:val="20"/>
                <w:szCs w:val="20"/>
                <w:color w:val="auto"/>
              </w:rPr>
            </w:pPr>
            <w:r>
              <w:rPr>
                <w:rFonts w:ascii="Arial" w:cs="Arial" w:eastAsia="Arial" w:hAnsi="Arial"/>
                <w:sz w:val="18"/>
                <w:szCs w:val="18"/>
                <w:b w:val="1"/>
                <w:bCs w:val="1"/>
                <w:color w:val="auto"/>
              </w:rPr>
              <w:t>Cash and cash equivalents</w:t>
            </w:r>
          </w:p>
        </w:tc>
        <w:tc>
          <w:tcPr>
            <w:tcW w:w="17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7100" w:type="dxa"/>
            <w:vAlign w:val="bottom"/>
            <w:shd w:val="clear" w:color="auto" w:fill="CCEEFF"/>
          </w:tcPr>
          <w:p>
            <w:pPr>
              <w:spacing w:after="0"/>
              <w:rPr>
                <w:sz w:val="20"/>
                <w:szCs w:val="20"/>
                <w:color w:val="auto"/>
              </w:rPr>
            </w:pPr>
            <w:r>
              <w:rPr>
                <w:rFonts w:ascii="Arial" w:cs="Arial" w:eastAsia="Arial" w:hAnsi="Arial"/>
                <w:sz w:val="18"/>
                <w:szCs w:val="18"/>
                <w:color w:val="auto"/>
              </w:rPr>
              <w:t>Beginning of period</w:t>
            </w:r>
          </w:p>
        </w:tc>
        <w:tc>
          <w:tcPr>
            <w:tcW w:w="170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8"/>
              </w:rPr>
              <w:t>13,084,181</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4"/>
              </w:rPr>
              <w:t>9,265,240</w:t>
            </w:r>
          </w:p>
        </w:tc>
        <w:tc>
          <w:tcPr>
            <w:tcW w:w="120" w:type="dxa"/>
            <w:vAlign w:val="bottom"/>
            <w:shd w:val="clear" w:color="auto" w:fill="CCEEFF"/>
          </w:tcPr>
          <w:p>
            <w:pPr>
              <w:spacing w:after="0"/>
              <w:rPr>
                <w:sz w:val="18"/>
                <w:szCs w:val="18"/>
                <w:color w:val="auto"/>
              </w:rPr>
            </w:pPr>
          </w:p>
        </w:tc>
      </w:tr>
      <w:tr>
        <w:trPr>
          <w:trHeight w:val="223"/>
        </w:trPr>
        <w:tc>
          <w:tcPr>
            <w:tcW w:w="7120" w:type="dxa"/>
            <w:vAlign w:val="bottom"/>
            <w:gridSpan w:val="2"/>
          </w:tcPr>
          <w:p>
            <w:pPr>
              <w:spacing w:after="0"/>
              <w:rPr>
                <w:sz w:val="20"/>
                <w:szCs w:val="20"/>
                <w:color w:val="auto"/>
              </w:rPr>
            </w:pPr>
            <w:r>
              <w:rPr>
                <w:rFonts w:ascii="Arial" w:cs="Arial" w:eastAsia="Arial" w:hAnsi="Arial"/>
                <w:sz w:val="18"/>
                <w:szCs w:val="18"/>
                <w:color w:val="auto"/>
              </w:rPr>
              <w:t>End of period</w:t>
            </w:r>
          </w:p>
        </w:tc>
        <w:tc>
          <w:tcPr>
            <w:tcW w:w="1700" w:type="dxa"/>
            <w:vAlign w:val="bottom"/>
          </w:tcPr>
          <w:p>
            <w:pPr>
              <w:spacing w:after="0"/>
              <w:rPr>
                <w:sz w:val="19"/>
                <w:szCs w:val="19"/>
                <w:color w:val="auto"/>
              </w:rPr>
            </w:pPr>
          </w:p>
        </w:tc>
        <w:tc>
          <w:tcPr>
            <w:tcW w:w="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7,205,469</w:t>
            </w: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4"/>
              </w:rPr>
              <w:t>2,135,634</w:t>
            </w:r>
          </w:p>
        </w:tc>
        <w:tc>
          <w:tcPr>
            <w:tcW w:w="120" w:type="dxa"/>
            <w:vAlign w:val="bottom"/>
          </w:tcPr>
          <w:p>
            <w:pPr>
              <w:spacing w:after="0"/>
              <w:rPr>
                <w:sz w:val="19"/>
                <w:szCs w:val="19"/>
                <w:color w:val="auto"/>
              </w:rPr>
            </w:pPr>
          </w:p>
        </w:tc>
      </w:tr>
      <w:tr>
        <w:trPr>
          <w:trHeight w:val="20"/>
        </w:trPr>
        <w:tc>
          <w:tcPr>
            <w:tcW w:w="20" w:type="dxa"/>
            <w:vAlign w:val="bottom"/>
          </w:tcPr>
          <w:p>
            <w:pPr>
              <w:spacing w:after="0" w:line="20" w:lineRule="exact"/>
              <w:rPr>
                <w:sz w:val="1"/>
                <w:szCs w:val="1"/>
                <w:color w:val="auto"/>
              </w:rPr>
            </w:pPr>
          </w:p>
        </w:tc>
        <w:tc>
          <w:tcPr>
            <w:tcW w:w="710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71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Supplemental disclosures of noncash information</w:t>
            </w:r>
          </w:p>
        </w:tc>
        <w:tc>
          <w:tcPr>
            <w:tcW w:w="17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7100" w:type="dxa"/>
            <w:vAlign w:val="bottom"/>
          </w:tcPr>
          <w:p>
            <w:pPr>
              <w:spacing w:after="0"/>
              <w:rPr>
                <w:sz w:val="20"/>
                <w:szCs w:val="20"/>
                <w:color w:val="auto"/>
              </w:rPr>
            </w:pPr>
            <w:r>
              <w:rPr>
                <w:rFonts w:ascii="Arial" w:cs="Arial" w:eastAsia="Arial" w:hAnsi="Arial"/>
                <w:sz w:val="18"/>
                <w:szCs w:val="18"/>
                <w:color w:val="auto"/>
              </w:rPr>
              <w:t>Accretion of preferred stock</w:t>
            </w:r>
          </w:p>
        </w:tc>
        <w:tc>
          <w:tcPr>
            <w:tcW w:w="17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20" w:type="dxa"/>
            <w:vAlign w:val="bottom"/>
          </w:tcPr>
          <w:p>
            <w:pPr>
              <w:jc w:val="right"/>
              <w:spacing w:after="0"/>
              <w:rPr>
                <w:sz w:val="20"/>
                <w:szCs w:val="20"/>
                <w:color w:val="auto"/>
              </w:rPr>
            </w:pPr>
            <w:r>
              <w:rPr>
                <w:rFonts w:ascii="Arial" w:cs="Arial" w:eastAsia="Arial" w:hAnsi="Arial"/>
                <w:sz w:val="18"/>
                <w:szCs w:val="18"/>
                <w:color w:val="auto"/>
                <w:w w:val="88"/>
              </w:rPr>
              <w:t>25,576,834</w:t>
            </w:r>
          </w:p>
        </w:tc>
        <w:tc>
          <w:tcPr>
            <w:tcW w:w="180" w:type="dxa"/>
            <w:vAlign w:val="bottom"/>
          </w:tcPr>
          <w:p>
            <w:pPr>
              <w:spacing w:after="0"/>
              <w:rPr>
                <w:sz w:val="18"/>
                <w:szCs w:val="18"/>
                <w:color w:val="auto"/>
              </w:rPr>
            </w:pP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80" w:type="dxa"/>
            <w:vAlign w:val="bottom"/>
          </w:tcPr>
          <w:p>
            <w:pPr>
              <w:jc w:val="right"/>
              <w:spacing w:after="0"/>
              <w:rPr>
                <w:sz w:val="20"/>
                <w:szCs w:val="20"/>
                <w:color w:val="auto"/>
              </w:rPr>
            </w:pPr>
            <w:r>
              <w:rPr>
                <w:rFonts w:ascii="Arial" w:cs="Arial" w:eastAsia="Arial" w:hAnsi="Arial"/>
                <w:sz w:val="18"/>
                <w:szCs w:val="18"/>
                <w:color w:val="auto"/>
                <w:w w:val="94"/>
              </w:rPr>
              <w:t>6,721,988</w:t>
            </w:r>
          </w:p>
        </w:tc>
        <w:tc>
          <w:tcPr>
            <w:tcW w:w="1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7100" w:type="dxa"/>
            <w:vAlign w:val="bottom"/>
            <w:shd w:val="clear" w:color="auto" w:fill="CCEEFF"/>
          </w:tcPr>
          <w:p>
            <w:pPr>
              <w:spacing w:after="0"/>
              <w:rPr>
                <w:sz w:val="20"/>
                <w:szCs w:val="20"/>
                <w:color w:val="auto"/>
              </w:rPr>
            </w:pPr>
            <w:r>
              <w:rPr>
                <w:rFonts w:ascii="Arial" w:cs="Arial" w:eastAsia="Arial" w:hAnsi="Arial"/>
                <w:sz w:val="18"/>
                <w:szCs w:val="18"/>
                <w:color w:val="auto"/>
              </w:rPr>
              <w:t>Accretion of preferred stock offering costs</w:t>
            </w:r>
          </w:p>
        </w:tc>
        <w:tc>
          <w:tcPr>
            <w:tcW w:w="17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56,367</w:t>
            </w:r>
          </w:p>
        </w:tc>
        <w:tc>
          <w:tcPr>
            <w:tcW w:w="180" w:type="dxa"/>
            <w:vAlign w:val="bottom"/>
            <w:shd w:val="clear" w:color="auto" w:fill="CCEEFF"/>
          </w:tcPr>
          <w:p>
            <w:pPr>
              <w:spacing w:after="0"/>
              <w:rPr>
                <w:sz w:val="18"/>
                <w:szCs w:val="18"/>
                <w:color w:val="auto"/>
              </w:rPr>
            </w:pP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99,138</w:t>
            </w:r>
          </w:p>
        </w:tc>
        <w:tc>
          <w:tcPr>
            <w:tcW w:w="120" w:type="dxa"/>
            <w:vAlign w:val="bottom"/>
            <w:shd w:val="clear" w:color="auto" w:fill="CCEEFF"/>
          </w:tcPr>
          <w:p>
            <w:pPr>
              <w:spacing w:after="0"/>
              <w:rPr>
                <w:sz w:val="18"/>
                <w:szCs w:val="18"/>
                <w:color w:val="auto"/>
              </w:rPr>
            </w:pPr>
          </w:p>
        </w:tc>
      </w:tr>
      <w:tr>
        <w:trPr>
          <w:trHeight w:val="230"/>
        </w:trPr>
        <w:tc>
          <w:tcPr>
            <w:tcW w:w="20" w:type="dxa"/>
            <w:vAlign w:val="bottom"/>
          </w:tcPr>
          <w:p>
            <w:pPr>
              <w:spacing w:after="0"/>
              <w:rPr>
                <w:sz w:val="20"/>
                <w:szCs w:val="20"/>
                <w:color w:val="auto"/>
              </w:rPr>
            </w:pPr>
          </w:p>
        </w:tc>
        <w:tc>
          <w:tcPr>
            <w:tcW w:w="7100" w:type="dxa"/>
            <w:vAlign w:val="bottom"/>
          </w:tcPr>
          <w:p>
            <w:pPr>
              <w:spacing w:after="0"/>
              <w:rPr>
                <w:sz w:val="20"/>
                <w:szCs w:val="20"/>
                <w:color w:val="auto"/>
              </w:rPr>
            </w:pPr>
            <w:r>
              <w:rPr>
                <w:rFonts w:ascii="Arial" w:cs="Arial" w:eastAsia="Arial" w:hAnsi="Arial"/>
                <w:sz w:val="18"/>
                <w:szCs w:val="18"/>
                <w:color w:val="auto"/>
              </w:rPr>
              <w:t>Property and equipment additions in accounts payable</w:t>
            </w:r>
          </w:p>
        </w:tc>
        <w:tc>
          <w:tcPr>
            <w:tcW w:w="17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99,981</w:t>
            </w:r>
          </w:p>
        </w:tc>
        <w:tc>
          <w:tcPr>
            <w:tcW w:w="180" w:type="dxa"/>
            <w:vAlign w:val="bottom"/>
          </w:tcPr>
          <w:p>
            <w:pPr>
              <w:spacing w:after="0"/>
              <w:rPr>
                <w:sz w:val="20"/>
                <w:szCs w:val="20"/>
                <w:color w:val="auto"/>
              </w:rPr>
            </w:pP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35,258</w:t>
            </w:r>
          </w:p>
        </w:tc>
        <w:tc>
          <w:tcPr>
            <w:tcW w:w="120" w:type="dxa"/>
            <w:vAlign w:val="bottom"/>
          </w:tcPr>
          <w:p>
            <w:pPr>
              <w:spacing w:after="0"/>
              <w:rPr>
                <w:sz w:val="20"/>
                <w:szCs w:val="20"/>
                <w:color w:val="auto"/>
              </w:rPr>
            </w:pPr>
          </w:p>
        </w:tc>
      </w:tr>
    </w:tbl>
    <w:p>
      <w:pPr>
        <w:spacing w:after="0" w:line="187"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The accompanying notes are an integral part of these unaudited condensed consolidated financial statements.</w:t>
      </w:r>
    </w:p>
    <w:p>
      <w:pPr>
        <w:spacing w:after="0" w:line="158"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040"/>
          </w:cols>
          <w:pgMar w:left="440" w:top="270" w:right="419" w:bottom="1440" w:gutter="0" w:footer="0" w:header="0"/>
        </w:sectPr>
      </w:pPr>
    </w:p>
    <w:bookmarkStart w:id="28" w:name="page29"/>
    <w:bookmarkEnd w:id="28"/>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SiriusDecisions, Inc. and Subsidiaries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to Condensed Consolidated Financial Statements (Unaudited)</w:t>
      </w:r>
    </w:p>
    <w:p>
      <w:pPr>
        <w:spacing w:after="0" w:line="139" w:lineRule="exact"/>
        <w:rPr>
          <w:sz w:val="20"/>
          <w:szCs w:val="20"/>
          <w:color w:val="auto"/>
        </w:rPr>
      </w:pPr>
    </w:p>
    <w:p>
      <w:pPr>
        <w:ind w:left="440" w:hanging="436"/>
        <w:spacing w:after="0"/>
        <w:tabs>
          <w:tab w:leader="none" w:pos="440" w:val="left"/>
        </w:tabs>
        <w:numPr>
          <w:ilvl w:val="0"/>
          <w:numId w:val="11"/>
        </w:numPr>
        <w:rPr>
          <w:rFonts w:ascii="Arial" w:cs="Arial" w:eastAsia="Arial" w:hAnsi="Arial"/>
          <w:sz w:val="18"/>
          <w:szCs w:val="18"/>
          <w:b w:val="1"/>
          <w:bCs w:val="1"/>
          <w:color w:val="auto"/>
        </w:rPr>
      </w:pPr>
      <w:r>
        <w:rPr>
          <w:rFonts w:ascii="Arial" w:cs="Arial" w:eastAsia="Arial" w:hAnsi="Arial"/>
          <w:sz w:val="18"/>
          <w:szCs w:val="18"/>
          <w:b w:val="1"/>
          <w:bCs w:val="1"/>
          <w:color w:val="auto"/>
        </w:rPr>
        <w:t>Organization and Nature of Business</w:t>
      </w:r>
    </w:p>
    <w:p>
      <w:pPr>
        <w:spacing w:after="0" w:line="121" w:lineRule="exact"/>
        <w:rPr>
          <w:rFonts w:ascii="Arial" w:cs="Arial" w:eastAsia="Arial" w:hAnsi="Arial"/>
          <w:sz w:val="18"/>
          <w:szCs w:val="18"/>
          <w:b w:val="1"/>
          <w:bCs w:val="1"/>
          <w:color w:val="auto"/>
        </w:rPr>
      </w:pPr>
    </w:p>
    <w:p>
      <w:pPr>
        <w:ind w:left="440" w:right="140"/>
        <w:spacing w:after="0" w:line="286" w:lineRule="auto"/>
        <w:rPr>
          <w:rFonts w:ascii="Arial" w:cs="Arial" w:eastAsia="Arial" w:hAnsi="Arial"/>
          <w:sz w:val="18"/>
          <w:szCs w:val="18"/>
          <w:b w:val="1"/>
          <w:bCs w:val="1"/>
          <w:color w:val="auto"/>
        </w:rPr>
      </w:pPr>
      <w:r>
        <w:rPr>
          <w:rFonts w:ascii="Arial" w:cs="Arial" w:eastAsia="Arial" w:hAnsi="Arial"/>
          <w:sz w:val="17"/>
          <w:szCs w:val="17"/>
          <w:color w:val="auto"/>
        </w:rPr>
        <w:t>SiriusDecisions, Inc. (the “Company”) is a global business-to-business research and advisory firm. Through its platform the Company seeks to deliver actionable, data driven intelligence to its clients to empower sales, product and marketing leaders to make better decisions and accelerate growth. SiriusDecisions, Inc. was founded in 2001 and is headquartered in Wilton, Connecticut.</w:t>
      </w:r>
    </w:p>
    <w:p>
      <w:pPr>
        <w:spacing w:after="0" w:line="57" w:lineRule="exact"/>
        <w:rPr>
          <w:rFonts w:ascii="Arial" w:cs="Arial" w:eastAsia="Arial" w:hAnsi="Arial"/>
          <w:sz w:val="18"/>
          <w:szCs w:val="18"/>
          <w:b w:val="1"/>
          <w:bCs w:val="1"/>
          <w:color w:val="auto"/>
        </w:rPr>
      </w:pPr>
    </w:p>
    <w:p>
      <w:pPr>
        <w:ind w:left="440"/>
        <w:spacing w:after="0"/>
        <w:rPr>
          <w:rFonts w:ascii="Arial" w:cs="Arial" w:eastAsia="Arial" w:hAnsi="Arial"/>
          <w:sz w:val="18"/>
          <w:szCs w:val="18"/>
          <w:b w:val="1"/>
          <w:bCs w:val="1"/>
          <w:color w:val="auto"/>
        </w:rPr>
      </w:pPr>
      <w:r>
        <w:rPr>
          <w:rFonts w:ascii="Arial" w:cs="Arial" w:eastAsia="Arial" w:hAnsi="Arial"/>
          <w:sz w:val="18"/>
          <w:szCs w:val="18"/>
          <w:i w:val="1"/>
          <w:iCs w:val="1"/>
          <w:color w:val="auto"/>
        </w:rPr>
        <w:t>Acquisition by Forrester Research, Inc.</w:t>
      </w:r>
    </w:p>
    <w:p>
      <w:pPr>
        <w:spacing w:after="0" w:line="117" w:lineRule="exact"/>
        <w:rPr>
          <w:rFonts w:ascii="Arial" w:cs="Arial" w:eastAsia="Arial" w:hAnsi="Arial"/>
          <w:sz w:val="18"/>
          <w:szCs w:val="18"/>
          <w:b w:val="1"/>
          <w:bCs w:val="1"/>
          <w:color w:val="auto"/>
        </w:rPr>
      </w:pPr>
    </w:p>
    <w:p>
      <w:pPr>
        <w:ind w:left="440"/>
        <w:spacing w:after="0" w:line="257" w:lineRule="auto"/>
        <w:rPr>
          <w:rFonts w:ascii="Arial" w:cs="Arial" w:eastAsia="Arial" w:hAnsi="Arial"/>
          <w:sz w:val="18"/>
          <w:szCs w:val="18"/>
          <w:b w:val="1"/>
          <w:bCs w:val="1"/>
          <w:color w:val="auto"/>
        </w:rPr>
      </w:pPr>
      <w:r>
        <w:rPr>
          <w:rFonts w:ascii="Arial" w:cs="Arial" w:eastAsia="Arial" w:hAnsi="Arial"/>
          <w:sz w:val="18"/>
          <w:szCs w:val="18"/>
          <w:color w:val="auto"/>
        </w:rPr>
        <w:t>On November 26, 2018, the Company and Forrester Research, Inc. (“Forrester”) entered into an Agreement and Plan of Merger whereby Forrester would acquire 100% of the issued and outstanding shares of the Company in exchange for $245 million in cash, as adjusted with respect to cash, indebtedness, and working capital of the Company. The transaction closed on January 3, 2019 and the Company became a wholly-owned subsidiary of Forrester as of that date. The accompanying financial statements do not include any adjustments related to the acquisition by Forrester.</w:t>
      </w:r>
    </w:p>
    <w:p>
      <w:pPr>
        <w:spacing w:after="0" w:line="332" w:lineRule="exact"/>
        <w:rPr>
          <w:rFonts w:ascii="Arial" w:cs="Arial" w:eastAsia="Arial" w:hAnsi="Arial"/>
          <w:sz w:val="18"/>
          <w:szCs w:val="18"/>
          <w:b w:val="1"/>
          <w:bCs w:val="1"/>
          <w:color w:val="auto"/>
        </w:rPr>
      </w:pPr>
    </w:p>
    <w:p>
      <w:pPr>
        <w:ind w:left="440" w:right="7180" w:hanging="436"/>
        <w:spacing w:after="0" w:line="378" w:lineRule="auto"/>
        <w:tabs>
          <w:tab w:leader="none" w:pos="432" w:val="left"/>
        </w:tabs>
        <w:numPr>
          <w:ilvl w:val="0"/>
          <w:numId w:val="11"/>
        </w:numPr>
        <w:rPr>
          <w:rFonts w:ascii="Arial" w:cs="Arial" w:eastAsia="Arial" w:hAnsi="Arial"/>
          <w:sz w:val="18"/>
          <w:szCs w:val="18"/>
          <w:b w:val="1"/>
          <w:bCs w:val="1"/>
          <w:color w:val="auto"/>
        </w:rPr>
      </w:pPr>
      <w:r>
        <w:rPr>
          <w:rFonts w:ascii="Arial" w:cs="Arial" w:eastAsia="Arial" w:hAnsi="Arial"/>
          <w:sz w:val="18"/>
          <w:szCs w:val="18"/>
          <w:b w:val="1"/>
          <w:bCs w:val="1"/>
          <w:color w:val="auto"/>
        </w:rPr>
        <w:t>Summary of Significant Accounting Policies Basis of Presentation</w:t>
      </w:r>
    </w:p>
    <w:p>
      <w:pPr>
        <w:ind w:left="440" w:right="20"/>
        <w:spacing w:after="0" w:line="302" w:lineRule="auto"/>
        <w:rPr>
          <w:rFonts w:ascii="Arial" w:cs="Arial" w:eastAsia="Arial" w:hAnsi="Arial"/>
          <w:sz w:val="18"/>
          <w:szCs w:val="18"/>
          <w:b w:val="1"/>
          <w:bCs w:val="1"/>
          <w:color w:val="auto"/>
        </w:rPr>
      </w:pPr>
      <w:r>
        <w:rPr>
          <w:rFonts w:ascii="Arial" w:cs="Arial" w:eastAsia="Arial" w:hAnsi="Arial"/>
          <w:sz w:val="16"/>
          <w:szCs w:val="16"/>
          <w:color w:val="auto"/>
        </w:rPr>
        <w:t>The accompanying unaudited interim condensed consolidated financial statements have been prepared in accordance with accounting principles generally accepted in the United States of America (“GAAP”) for interim financial information. Accordingly, certain information and footnote disclosures required for complete financial statements are not included herein. The year-end balance sheet data was derived from audited financial statements, but does not include all disclosures required by accounting principles generally accepted in the United States of America.</w:t>
      </w:r>
    </w:p>
    <w:p>
      <w:pPr>
        <w:spacing w:after="0" w:line="46" w:lineRule="exact"/>
        <w:rPr>
          <w:rFonts w:ascii="Arial" w:cs="Arial" w:eastAsia="Arial" w:hAnsi="Arial"/>
          <w:sz w:val="18"/>
          <w:szCs w:val="18"/>
          <w:b w:val="1"/>
          <w:bCs w:val="1"/>
          <w:color w:val="auto"/>
        </w:rPr>
      </w:pPr>
    </w:p>
    <w:p>
      <w:pPr>
        <w:ind w:left="440" w:right="80"/>
        <w:spacing w:after="0" w:line="289" w:lineRule="auto"/>
        <w:rPr>
          <w:rFonts w:ascii="Arial" w:cs="Arial" w:eastAsia="Arial" w:hAnsi="Arial"/>
          <w:sz w:val="18"/>
          <w:szCs w:val="18"/>
          <w:b w:val="1"/>
          <w:bCs w:val="1"/>
          <w:color w:val="auto"/>
        </w:rPr>
      </w:pPr>
      <w:r>
        <w:rPr>
          <w:rFonts w:ascii="Arial" w:cs="Arial" w:eastAsia="Arial" w:hAnsi="Arial"/>
          <w:sz w:val="16"/>
          <w:szCs w:val="16"/>
          <w:color w:val="auto"/>
        </w:rPr>
        <w:t>The condensed consolidated financial statements include the accounts of SiriusDecisions, Inc. and its wholly owned subsidiaries SiriusDecisions Europe Ltd and SiriusDecisions Asia Pte. Ltd. All significant intercompany accounts and transactions have been eliminated in consolidation. The preparation of consolidated financial statements in conformity with U.S. GAAP requires management to make estimates and assumptions that affect the reported amounts of assets and liabilities and disclosure of contingent assets and liabilities at the date of the consolidated financial statements and the reported amounts of revenues and expenses during the reporting period. Actual results could differ from those estimates. Significant estimates include the establishment of allowances for doubtful accounts, recoverability of long-lived assets and the assumptions used for stock option valuations. In management’s opinion, the unaudited condensed consolidated financial statements contain all normal recurring adjustments necessary for a fair statement of the interim results reported. The results of operations reported for the interim periods are not necessarily indicative of the results of operations for the entire year or any subsequent period.</w:t>
      </w:r>
    </w:p>
    <w:p>
      <w:pPr>
        <w:spacing w:after="0" w:line="270" w:lineRule="exact"/>
        <w:rPr>
          <w:rFonts w:ascii="Arial" w:cs="Arial" w:eastAsia="Arial" w:hAnsi="Arial"/>
          <w:sz w:val="18"/>
          <w:szCs w:val="18"/>
          <w:b w:val="1"/>
          <w:bCs w:val="1"/>
          <w:color w:val="auto"/>
        </w:rPr>
      </w:pPr>
    </w:p>
    <w:p>
      <w:pPr>
        <w:ind w:left="440"/>
        <w:spacing w:after="0"/>
        <w:rPr>
          <w:rFonts w:ascii="Arial" w:cs="Arial" w:eastAsia="Arial" w:hAnsi="Arial"/>
          <w:sz w:val="18"/>
          <w:szCs w:val="18"/>
          <w:b w:val="1"/>
          <w:bCs w:val="1"/>
          <w:color w:val="auto"/>
        </w:rPr>
      </w:pPr>
      <w:r>
        <w:rPr>
          <w:rFonts w:ascii="Arial" w:cs="Arial" w:eastAsia="Arial" w:hAnsi="Arial"/>
          <w:sz w:val="18"/>
          <w:szCs w:val="18"/>
          <w:b w:val="1"/>
          <w:bCs w:val="1"/>
          <w:color w:val="auto"/>
        </w:rPr>
        <w:t>Risk and Uncertainties</w:t>
      </w:r>
    </w:p>
    <w:p>
      <w:pPr>
        <w:spacing w:after="0" w:line="121" w:lineRule="exact"/>
        <w:rPr>
          <w:rFonts w:ascii="Arial" w:cs="Arial" w:eastAsia="Arial" w:hAnsi="Arial"/>
          <w:sz w:val="18"/>
          <w:szCs w:val="18"/>
          <w:b w:val="1"/>
          <w:bCs w:val="1"/>
          <w:color w:val="auto"/>
        </w:rPr>
      </w:pPr>
    </w:p>
    <w:p>
      <w:pPr>
        <w:ind w:left="440" w:right="20"/>
        <w:spacing w:after="0" w:line="264" w:lineRule="auto"/>
        <w:rPr>
          <w:rFonts w:ascii="Arial" w:cs="Arial" w:eastAsia="Arial" w:hAnsi="Arial"/>
          <w:sz w:val="18"/>
          <w:szCs w:val="18"/>
          <w:b w:val="1"/>
          <w:bCs w:val="1"/>
          <w:color w:val="auto"/>
        </w:rPr>
      </w:pPr>
      <w:r>
        <w:rPr>
          <w:rFonts w:ascii="Arial" w:cs="Arial" w:eastAsia="Arial" w:hAnsi="Arial"/>
          <w:sz w:val="18"/>
          <w:szCs w:val="18"/>
          <w:color w:val="auto"/>
        </w:rPr>
        <w:t>The Company’s financial instruments that are exposed to concentrations of credit risk consist primarily of trade accounts receivable. The Company has not experienced any significant losses in such accounts and believes it is not exposed to any significant credit risk with respect to its trade accounts receivable.</w:t>
      </w:r>
    </w:p>
    <w:p>
      <w:pPr>
        <w:spacing w:after="0" w:line="73" w:lineRule="exact"/>
        <w:rPr>
          <w:rFonts w:ascii="Arial" w:cs="Arial" w:eastAsia="Arial" w:hAnsi="Arial"/>
          <w:sz w:val="18"/>
          <w:szCs w:val="18"/>
          <w:b w:val="1"/>
          <w:bCs w:val="1"/>
          <w:color w:val="auto"/>
        </w:rPr>
      </w:pPr>
    </w:p>
    <w:p>
      <w:pPr>
        <w:ind w:left="440" w:right="860"/>
        <w:spacing w:after="0" w:line="308" w:lineRule="auto"/>
        <w:rPr>
          <w:rFonts w:ascii="Arial" w:cs="Arial" w:eastAsia="Arial" w:hAnsi="Arial"/>
          <w:sz w:val="18"/>
          <w:szCs w:val="18"/>
          <w:b w:val="1"/>
          <w:bCs w:val="1"/>
          <w:color w:val="auto"/>
        </w:rPr>
      </w:pPr>
      <w:r>
        <w:rPr>
          <w:rFonts w:ascii="Arial" w:cs="Arial" w:eastAsia="Arial" w:hAnsi="Arial"/>
          <w:sz w:val="17"/>
          <w:szCs w:val="17"/>
          <w:color w:val="auto"/>
        </w:rPr>
        <w:t>The Company maintains its cash in bank deposit accounts, which, at times, may exceed federally insured limits. The Company has not experienced any losses in such accounts. The Company believes it is not exposed to any significant credit risk on cash.</w:t>
      </w:r>
    </w:p>
    <w:p>
      <w:pPr>
        <w:spacing w:after="0" w:line="250" w:lineRule="exact"/>
        <w:rPr>
          <w:rFonts w:ascii="Arial" w:cs="Arial" w:eastAsia="Arial" w:hAnsi="Arial"/>
          <w:sz w:val="18"/>
          <w:szCs w:val="18"/>
          <w:b w:val="1"/>
          <w:bCs w:val="1"/>
          <w:color w:val="auto"/>
        </w:rPr>
      </w:pPr>
    </w:p>
    <w:p>
      <w:pPr>
        <w:ind w:left="440"/>
        <w:spacing w:after="0"/>
        <w:rPr>
          <w:rFonts w:ascii="Arial" w:cs="Arial" w:eastAsia="Arial" w:hAnsi="Arial"/>
          <w:sz w:val="18"/>
          <w:szCs w:val="18"/>
          <w:b w:val="1"/>
          <w:bCs w:val="1"/>
          <w:color w:val="auto"/>
        </w:rPr>
      </w:pPr>
      <w:r>
        <w:rPr>
          <w:rFonts w:ascii="Arial" w:cs="Arial" w:eastAsia="Arial" w:hAnsi="Arial"/>
          <w:sz w:val="18"/>
          <w:szCs w:val="18"/>
          <w:b w:val="1"/>
          <w:bCs w:val="1"/>
          <w:color w:val="auto"/>
        </w:rPr>
        <w:t>Revenue Recognition and Deferred Revenue</w:t>
      </w:r>
    </w:p>
    <w:p>
      <w:pPr>
        <w:spacing w:after="0" w:line="121" w:lineRule="exact"/>
        <w:rPr>
          <w:rFonts w:ascii="Arial" w:cs="Arial" w:eastAsia="Arial" w:hAnsi="Arial"/>
          <w:sz w:val="18"/>
          <w:szCs w:val="18"/>
          <w:b w:val="1"/>
          <w:bCs w:val="1"/>
          <w:color w:val="auto"/>
        </w:rPr>
      </w:pPr>
    </w:p>
    <w:p>
      <w:pPr>
        <w:ind w:left="440"/>
        <w:spacing w:after="0"/>
        <w:rPr>
          <w:rFonts w:ascii="Arial" w:cs="Arial" w:eastAsia="Arial" w:hAnsi="Arial"/>
          <w:sz w:val="18"/>
          <w:szCs w:val="18"/>
          <w:b w:val="1"/>
          <w:bCs w:val="1"/>
          <w:color w:val="auto"/>
        </w:rPr>
      </w:pPr>
      <w:r>
        <w:rPr>
          <w:rFonts w:ascii="Arial" w:cs="Arial" w:eastAsia="Arial" w:hAnsi="Arial"/>
          <w:sz w:val="18"/>
          <w:szCs w:val="18"/>
          <w:color w:val="auto"/>
        </w:rPr>
        <w:t>The Company’s revenue recognition policies by significant revenue source are as follows:</w:t>
      </w:r>
    </w:p>
    <w:p>
      <w:pPr>
        <w:spacing w:after="0" w:line="225" w:lineRule="exact"/>
        <w:rPr>
          <w:rFonts w:ascii="Arial" w:cs="Arial" w:eastAsia="Arial" w:hAnsi="Arial"/>
          <w:sz w:val="18"/>
          <w:szCs w:val="18"/>
          <w:b w:val="1"/>
          <w:bCs w:val="1"/>
          <w:color w:val="auto"/>
        </w:rPr>
      </w:pPr>
    </w:p>
    <w:p>
      <w:pPr>
        <w:ind w:left="440"/>
        <w:spacing w:after="0"/>
        <w:rPr>
          <w:rFonts w:ascii="Arial" w:cs="Arial" w:eastAsia="Arial" w:hAnsi="Arial"/>
          <w:sz w:val="18"/>
          <w:szCs w:val="18"/>
          <w:b w:val="1"/>
          <w:bCs w:val="1"/>
          <w:color w:val="auto"/>
        </w:rPr>
      </w:pPr>
      <w:r>
        <w:rPr>
          <w:rFonts w:ascii="Arial" w:cs="Arial" w:eastAsia="Arial" w:hAnsi="Arial"/>
          <w:sz w:val="18"/>
          <w:szCs w:val="18"/>
          <w:i w:val="1"/>
          <w:iCs w:val="1"/>
          <w:color w:val="auto"/>
        </w:rPr>
        <w:t>Research Services</w:t>
      </w:r>
    </w:p>
    <w:p>
      <w:pPr>
        <w:spacing w:after="0" w:line="117" w:lineRule="exact"/>
        <w:rPr>
          <w:rFonts w:ascii="Arial" w:cs="Arial" w:eastAsia="Arial" w:hAnsi="Arial"/>
          <w:sz w:val="18"/>
          <w:szCs w:val="18"/>
          <w:b w:val="1"/>
          <w:bCs w:val="1"/>
          <w:color w:val="auto"/>
        </w:rPr>
      </w:pPr>
    </w:p>
    <w:p>
      <w:pPr>
        <w:ind w:left="440" w:right="360"/>
        <w:spacing w:after="0" w:line="259" w:lineRule="auto"/>
        <w:rPr>
          <w:rFonts w:ascii="Arial" w:cs="Arial" w:eastAsia="Arial" w:hAnsi="Arial"/>
          <w:sz w:val="18"/>
          <w:szCs w:val="18"/>
          <w:b w:val="1"/>
          <w:bCs w:val="1"/>
          <w:color w:val="auto"/>
        </w:rPr>
      </w:pPr>
      <w:r>
        <w:rPr>
          <w:rFonts w:ascii="Arial" w:cs="Arial" w:eastAsia="Arial" w:hAnsi="Arial"/>
          <w:sz w:val="18"/>
          <w:szCs w:val="18"/>
          <w:color w:val="auto"/>
        </w:rPr>
        <w:t>This is a membership-driven service. The service is built to provide senior-level business-to-business executives with the sales and marketing operational insight required to improve topline performance. Members access this information via email, telephone, events and a self-service research portal. Members sign a membership agreement which runs for a specific period of time (typically one to two years). Revenue is recognized over the term of the agreement.</w:t>
      </w:r>
    </w:p>
    <w:p>
      <w:pPr>
        <w:spacing w:after="0" w:line="186" w:lineRule="exact"/>
        <w:rPr>
          <w:rFonts w:ascii="Arial" w:cs="Arial" w:eastAsia="Arial" w:hAnsi="Arial"/>
          <w:sz w:val="18"/>
          <w:szCs w:val="18"/>
          <w:b w:val="1"/>
          <w:bCs w:val="1"/>
          <w:color w:val="auto"/>
        </w:rPr>
      </w:pPr>
    </w:p>
    <w:p>
      <w:pPr>
        <w:ind w:left="440"/>
        <w:spacing w:after="0"/>
        <w:rPr>
          <w:rFonts w:ascii="Arial" w:cs="Arial" w:eastAsia="Arial" w:hAnsi="Arial"/>
          <w:sz w:val="18"/>
          <w:szCs w:val="18"/>
          <w:b w:val="1"/>
          <w:bCs w:val="1"/>
          <w:color w:val="auto"/>
        </w:rPr>
      </w:pPr>
      <w:r>
        <w:rPr>
          <w:rFonts w:ascii="Arial" w:cs="Arial" w:eastAsia="Arial" w:hAnsi="Arial"/>
          <w:sz w:val="18"/>
          <w:szCs w:val="18"/>
          <w:i w:val="1"/>
          <w:iCs w:val="1"/>
          <w:color w:val="auto"/>
        </w:rPr>
        <w:t>Events</w:t>
      </w:r>
    </w:p>
    <w:p>
      <w:pPr>
        <w:spacing w:after="0" w:line="117" w:lineRule="exact"/>
        <w:rPr>
          <w:rFonts w:ascii="Arial" w:cs="Arial" w:eastAsia="Arial" w:hAnsi="Arial"/>
          <w:sz w:val="18"/>
          <w:szCs w:val="18"/>
          <w:b w:val="1"/>
          <w:bCs w:val="1"/>
          <w:color w:val="auto"/>
        </w:rPr>
      </w:pPr>
    </w:p>
    <w:p>
      <w:pPr>
        <w:ind w:left="440" w:right="60"/>
        <w:spacing w:after="0" w:line="264" w:lineRule="auto"/>
        <w:rPr>
          <w:rFonts w:ascii="Arial" w:cs="Arial" w:eastAsia="Arial" w:hAnsi="Arial"/>
          <w:sz w:val="18"/>
          <w:szCs w:val="18"/>
          <w:b w:val="1"/>
          <w:bCs w:val="1"/>
          <w:color w:val="auto"/>
        </w:rPr>
      </w:pPr>
      <w:r>
        <w:rPr>
          <w:rFonts w:ascii="Arial" w:cs="Arial" w:eastAsia="Arial" w:hAnsi="Arial"/>
          <w:sz w:val="18"/>
          <w:szCs w:val="18"/>
          <w:color w:val="auto"/>
        </w:rPr>
        <w:t>The Company holds conferences during the year. Events revenues, which are primarily comprised of sponsorship revenue and registration revenue, are deferred and recognized upon the completion of the related conference. In addition, the Company defers certain costs directly related to events and expenses these costs in the period during which the related event occurs.</w:t>
      </w:r>
    </w:p>
    <w:p>
      <w:pPr>
        <w:spacing w:after="0" w:line="11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000"/>
          </w:cols>
          <w:pgMar w:left="440" w:top="270" w:right="459" w:bottom="1440" w:gutter="0" w:footer="0" w:header="0"/>
        </w:sectPr>
      </w:pPr>
    </w:p>
    <w:bookmarkStart w:id="29" w:name="page30"/>
    <w:bookmarkEnd w:id="29"/>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SiriusDecisions, Inc. and Subsidiaries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to Condensed Consolidated Financial Statements (Unaudited)</w:t>
      </w:r>
    </w:p>
    <w:p>
      <w:pPr>
        <w:spacing w:after="0" w:line="143" w:lineRule="exact"/>
        <w:rPr>
          <w:sz w:val="20"/>
          <w:szCs w:val="20"/>
          <w:color w:val="auto"/>
        </w:rPr>
      </w:pPr>
    </w:p>
    <w:p>
      <w:pPr>
        <w:ind w:left="440"/>
        <w:spacing w:after="0"/>
        <w:rPr>
          <w:sz w:val="20"/>
          <w:szCs w:val="20"/>
          <w:color w:val="auto"/>
        </w:rPr>
      </w:pPr>
      <w:r>
        <w:rPr>
          <w:rFonts w:ascii="Arial" w:cs="Arial" w:eastAsia="Arial" w:hAnsi="Arial"/>
          <w:sz w:val="18"/>
          <w:szCs w:val="18"/>
          <w:i w:val="1"/>
          <w:iCs w:val="1"/>
          <w:color w:val="auto"/>
        </w:rPr>
        <w:t>Consulting Services</w:t>
      </w:r>
    </w:p>
    <w:p>
      <w:pPr>
        <w:spacing w:after="0" w:line="117" w:lineRule="exact"/>
        <w:rPr>
          <w:sz w:val="20"/>
          <w:szCs w:val="20"/>
          <w:color w:val="auto"/>
        </w:rPr>
      </w:pPr>
    </w:p>
    <w:p>
      <w:pPr>
        <w:ind w:left="440" w:right="80"/>
        <w:spacing w:after="0" w:line="308" w:lineRule="auto"/>
        <w:rPr>
          <w:sz w:val="20"/>
          <w:szCs w:val="20"/>
          <w:color w:val="auto"/>
        </w:rPr>
      </w:pPr>
      <w:r>
        <w:rPr>
          <w:rFonts w:ascii="Arial" w:cs="Arial" w:eastAsia="Arial" w:hAnsi="Arial"/>
          <w:sz w:val="17"/>
          <w:szCs w:val="17"/>
          <w:color w:val="auto"/>
        </w:rPr>
        <w:t>Consulting revenues, primarily derived from consulting, training classes, and general marketing projects, are principally generated from fixed fee or time and materials engagements. Consulting revenues are recognized as work is delivered and/or services are provided.</w:t>
      </w:r>
    </w:p>
    <w:p>
      <w:pPr>
        <w:spacing w:after="0" w:line="147" w:lineRule="exact"/>
        <w:rPr>
          <w:sz w:val="20"/>
          <w:szCs w:val="20"/>
          <w:color w:val="auto"/>
        </w:rPr>
      </w:pPr>
    </w:p>
    <w:p>
      <w:pPr>
        <w:ind w:left="440"/>
        <w:spacing w:after="0"/>
        <w:rPr>
          <w:sz w:val="20"/>
          <w:szCs w:val="20"/>
          <w:color w:val="auto"/>
        </w:rPr>
      </w:pPr>
      <w:r>
        <w:rPr>
          <w:rFonts w:ascii="Arial" w:cs="Arial" w:eastAsia="Arial" w:hAnsi="Arial"/>
          <w:sz w:val="18"/>
          <w:szCs w:val="18"/>
          <w:i w:val="1"/>
          <w:iCs w:val="1"/>
          <w:color w:val="auto"/>
        </w:rPr>
        <w:t>Learning Services</w:t>
      </w:r>
    </w:p>
    <w:p>
      <w:pPr>
        <w:spacing w:after="0" w:line="117" w:lineRule="exact"/>
        <w:rPr>
          <w:sz w:val="20"/>
          <w:szCs w:val="20"/>
          <w:color w:val="auto"/>
        </w:rPr>
      </w:pPr>
    </w:p>
    <w:p>
      <w:pPr>
        <w:jc w:val="both"/>
        <w:ind w:left="440"/>
        <w:spacing w:after="0" w:line="264" w:lineRule="auto"/>
        <w:rPr>
          <w:sz w:val="20"/>
          <w:szCs w:val="20"/>
          <w:color w:val="auto"/>
        </w:rPr>
      </w:pPr>
      <w:r>
        <w:rPr>
          <w:rFonts w:ascii="Arial" w:cs="Arial" w:eastAsia="Arial" w:hAnsi="Arial"/>
          <w:sz w:val="18"/>
          <w:szCs w:val="18"/>
          <w:color w:val="auto"/>
        </w:rPr>
        <w:t>Learning revenues are generated from a membership-driven service. The Company provides online courses for business-to-business professionals. Members access information via a self-service portal, and members sign a membership agreement that runs for a specific period of time. Revenue is deferred and recognized as the services are provided over the term of the agreement.</w:t>
      </w:r>
    </w:p>
    <w:p>
      <w:pPr>
        <w:spacing w:after="0" w:line="285" w:lineRule="exact"/>
        <w:rPr>
          <w:sz w:val="20"/>
          <w:szCs w:val="20"/>
          <w:color w:val="auto"/>
        </w:rPr>
      </w:pPr>
    </w:p>
    <w:p>
      <w:pPr>
        <w:ind w:left="440"/>
        <w:spacing w:after="0"/>
        <w:rPr>
          <w:sz w:val="20"/>
          <w:szCs w:val="20"/>
          <w:color w:val="auto"/>
        </w:rPr>
      </w:pPr>
      <w:r>
        <w:rPr>
          <w:rFonts w:ascii="Arial" w:cs="Arial" w:eastAsia="Arial" w:hAnsi="Arial"/>
          <w:sz w:val="18"/>
          <w:szCs w:val="18"/>
          <w:b w:val="1"/>
          <w:bCs w:val="1"/>
          <w:color w:val="auto"/>
        </w:rPr>
        <w:t>Income Taxes</w:t>
      </w:r>
    </w:p>
    <w:p>
      <w:pPr>
        <w:spacing w:after="0" w:line="121" w:lineRule="exact"/>
        <w:rPr>
          <w:sz w:val="20"/>
          <w:szCs w:val="20"/>
          <w:color w:val="auto"/>
        </w:rPr>
      </w:pPr>
    </w:p>
    <w:p>
      <w:pPr>
        <w:ind w:left="440" w:right="520"/>
        <w:spacing w:after="0" w:line="302" w:lineRule="auto"/>
        <w:rPr>
          <w:sz w:val="20"/>
          <w:szCs w:val="20"/>
          <w:color w:val="auto"/>
        </w:rPr>
      </w:pPr>
      <w:r>
        <w:rPr>
          <w:rFonts w:ascii="Arial" w:cs="Arial" w:eastAsia="Arial" w:hAnsi="Arial"/>
          <w:sz w:val="16"/>
          <w:szCs w:val="16"/>
          <w:color w:val="auto"/>
        </w:rPr>
        <w:t xml:space="preserve">The Company provides for deferred income taxes in accordance with ASC Topic 740, </w:t>
      </w:r>
      <w:r>
        <w:rPr>
          <w:rFonts w:ascii="Arial" w:cs="Arial" w:eastAsia="Arial" w:hAnsi="Arial"/>
          <w:sz w:val="16"/>
          <w:szCs w:val="16"/>
          <w:i w:val="1"/>
          <w:iCs w:val="1"/>
          <w:color w:val="auto"/>
        </w:rPr>
        <w:t>Income Taxes,</w:t>
      </w:r>
      <w:r>
        <w:rPr>
          <w:rFonts w:ascii="Arial" w:cs="Arial" w:eastAsia="Arial" w:hAnsi="Arial"/>
          <w:sz w:val="16"/>
          <w:szCs w:val="16"/>
          <w:color w:val="auto"/>
        </w:rPr>
        <w:t xml:space="preserve"> which requires deferred tax assets and liabilities to be recognized for the future tax consequences attributable to net operating loss carryforwards and for differences between the financial statement carrying amounts and the respective tax bases of assets and liabilities. Deferred tax assets are reduced if necessary by a valuation allowance if it is more likely than not that some portion or all of the deferred tax assets will not be realized.</w:t>
      </w:r>
    </w:p>
    <w:p>
      <w:pPr>
        <w:spacing w:after="0" w:line="46" w:lineRule="exact"/>
        <w:rPr>
          <w:sz w:val="20"/>
          <w:szCs w:val="20"/>
          <w:color w:val="auto"/>
        </w:rPr>
      </w:pPr>
    </w:p>
    <w:p>
      <w:pPr>
        <w:ind w:left="440" w:right="20"/>
        <w:spacing w:after="0" w:line="291" w:lineRule="auto"/>
        <w:rPr>
          <w:sz w:val="20"/>
          <w:szCs w:val="20"/>
          <w:color w:val="auto"/>
        </w:rPr>
      </w:pPr>
      <w:r>
        <w:rPr>
          <w:rFonts w:ascii="Arial" w:cs="Arial" w:eastAsia="Arial" w:hAnsi="Arial"/>
          <w:sz w:val="16"/>
          <w:szCs w:val="16"/>
          <w:color w:val="auto"/>
        </w:rPr>
        <w:t xml:space="preserve">The Company also follows the FASB issued ASC Topic 740-10, </w:t>
      </w:r>
      <w:r>
        <w:rPr>
          <w:rFonts w:ascii="Arial" w:cs="Arial" w:eastAsia="Arial" w:hAnsi="Arial"/>
          <w:sz w:val="16"/>
          <w:szCs w:val="16"/>
          <w:i w:val="1"/>
          <w:iCs w:val="1"/>
          <w:color w:val="auto"/>
        </w:rPr>
        <w:t>Uncertainty in Income Taxes</w:t>
      </w:r>
      <w:r>
        <w:rPr>
          <w:rFonts w:ascii="Arial" w:cs="Arial" w:eastAsia="Arial" w:hAnsi="Arial"/>
          <w:sz w:val="16"/>
          <w:szCs w:val="16"/>
          <w:color w:val="auto"/>
        </w:rPr>
        <w:t>. This Topic prescribes a recognition threshold and measurement attribute for the financial statement recognition and measurement of a tax position taken or expected to be taken in a tax return. This Topic also provides guidance on de-recognition, classification, interest and penalties, accounting in interim periods, disclosure, and transition. The Company recognizes tax benefits or expenses of uncertain tax positions in the year such determination is made when the position is “more likely than not” to be sustained assuming examination by tax authorities. The Company accrues interest and penalties associated with uncertain tax positions, if any, as part of the income tax provision. Management has reviewed the Company’s tax positions for all open tax years and concluded that no provision for unrecognized tax benefits or expense is required in these unaudited condensed consolidated financial statements.</w:t>
      </w:r>
    </w:p>
    <w:p>
      <w:pPr>
        <w:spacing w:after="0" w:line="59" w:lineRule="exact"/>
        <w:rPr>
          <w:sz w:val="20"/>
          <w:szCs w:val="20"/>
          <w:color w:val="auto"/>
        </w:rPr>
      </w:pPr>
    </w:p>
    <w:p>
      <w:pPr>
        <w:jc w:val="both"/>
        <w:ind w:left="440" w:right="120"/>
        <w:spacing w:after="0" w:line="264" w:lineRule="auto"/>
        <w:rPr>
          <w:sz w:val="20"/>
          <w:szCs w:val="20"/>
          <w:color w:val="auto"/>
        </w:rPr>
      </w:pPr>
      <w:r>
        <w:rPr>
          <w:rFonts w:ascii="Arial" w:cs="Arial" w:eastAsia="Arial" w:hAnsi="Arial"/>
          <w:sz w:val="18"/>
          <w:szCs w:val="18"/>
          <w:color w:val="auto"/>
        </w:rPr>
        <w:t>Management evaluates the tax positions taken or expected to be taken in the course of preparing the Company’s tax returns to determine whether the tax positions are more likely than not to be sustained upon examination by the applicable tax authorities. Management further believes that it has not taken tax positions that are not likely to be sustained by such tax authorities.</w:t>
      </w:r>
    </w:p>
    <w:p>
      <w:pPr>
        <w:spacing w:after="0" w:line="285" w:lineRule="exact"/>
        <w:rPr>
          <w:sz w:val="20"/>
          <w:szCs w:val="20"/>
          <w:color w:val="auto"/>
        </w:rPr>
      </w:pPr>
    </w:p>
    <w:p>
      <w:pPr>
        <w:ind w:left="440"/>
        <w:spacing w:after="0"/>
        <w:rPr>
          <w:sz w:val="20"/>
          <w:szCs w:val="20"/>
          <w:color w:val="auto"/>
        </w:rPr>
      </w:pPr>
      <w:r>
        <w:rPr>
          <w:rFonts w:ascii="Arial" w:cs="Arial" w:eastAsia="Arial" w:hAnsi="Arial"/>
          <w:sz w:val="18"/>
          <w:szCs w:val="18"/>
          <w:b w:val="1"/>
          <w:bCs w:val="1"/>
          <w:color w:val="auto"/>
        </w:rPr>
        <w:t>Stock-Based Compensation</w:t>
      </w:r>
    </w:p>
    <w:p>
      <w:pPr>
        <w:spacing w:after="0" w:line="121" w:lineRule="exact"/>
        <w:rPr>
          <w:sz w:val="20"/>
          <w:szCs w:val="20"/>
          <w:color w:val="auto"/>
        </w:rPr>
      </w:pPr>
    </w:p>
    <w:p>
      <w:pPr>
        <w:jc w:val="both"/>
        <w:ind w:left="440" w:right="180"/>
        <w:spacing w:after="0" w:line="286" w:lineRule="auto"/>
        <w:rPr>
          <w:sz w:val="20"/>
          <w:szCs w:val="20"/>
          <w:color w:val="auto"/>
        </w:rPr>
      </w:pPr>
      <w:r>
        <w:rPr>
          <w:rFonts w:ascii="Arial" w:cs="Arial" w:eastAsia="Arial" w:hAnsi="Arial"/>
          <w:sz w:val="17"/>
          <w:szCs w:val="17"/>
          <w:color w:val="auto"/>
        </w:rPr>
        <w:t xml:space="preserve">ASC 718, </w:t>
      </w:r>
      <w:r>
        <w:rPr>
          <w:rFonts w:ascii="Arial" w:cs="Arial" w:eastAsia="Arial" w:hAnsi="Arial"/>
          <w:sz w:val="17"/>
          <w:szCs w:val="17"/>
          <w:i w:val="1"/>
          <w:iCs w:val="1"/>
          <w:color w:val="auto"/>
        </w:rPr>
        <w:t>Compensation—Stock Compensation</w:t>
      </w:r>
      <w:r>
        <w:rPr>
          <w:rFonts w:ascii="Arial" w:cs="Arial" w:eastAsia="Arial" w:hAnsi="Arial"/>
          <w:sz w:val="17"/>
          <w:szCs w:val="17"/>
          <w:color w:val="auto"/>
        </w:rPr>
        <w:t>, requires the cost of all share-based payments to employees, including grants of employee stock options, to be recognized in the financial statements based on the grant date fair value of those awards. In accordance with ASC 718, this cost is recognized over the period for which an employee is required to provide service in exchange for the award.</w:t>
      </w:r>
    </w:p>
    <w:p>
      <w:pPr>
        <w:spacing w:after="0" w:line="57" w:lineRule="exact"/>
        <w:rPr>
          <w:sz w:val="20"/>
          <w:szCs w:val="20"/>
          <w:color w:val="auto"/>
        </w:rPr>
      </w:pPr>
    </w:p>
    <w:p>
      <w:pPr>
        <w:ind w:left="440" w:right="140"/>
        <w:spacing w:after="0" w:line="302" w:lineRule="auto"/>
        <w:rPr>
          <w:sz w:val="20"/>
          <w:szCs w:val="20"/>
          <w:color w:val="auto"/>
        </w:rPr>
      </w:pPr>
      <w:r>
        <w:rPr>
          <w:rFonts w:ascii="Arial" w:cs="Arial" w:eastAsia="Arial" w:hAnsi="Arial"/>
          <w:sz w:val="16"/>
          <w:szCs w:val="16"/>
          <w:color w:val="auto"/>
        </w:rPr>
        <w:t>The Company estimates the fair value of options granted using the Black-Scholes option pricing model. The estimation of stock awards that will ultimately vest requires judgment, and to the extent actual results differ from the Company’s estimates, such amounts will be recorded as an adjustment in the period estimates are revised. In valuing share-based awards, significant judgment is required in determining the expected volatility of common stock and the expected term individuals will hold their share-based awards prior to exercising.</w:t>
      </w:r>
    </w:p>
    <w:p>
      <w:pPr>
        <w:spacing w:after="0" w:line="8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000"/>
          </w:cols>
          <w:pgMar w:left="440" w:top="270" w:right="459" w:bottom="1440" w:gutter="0" w:footer="0" w:header="0"/>
        </w:sectPr>
      </w:pPr>
    </w:p>
    <w:bookmarkStart w:id="30" w:name="page31"/>
    <w:bookmarkEnd w:id="30"/>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SiriusDecisions, Inc. and Subsidiaries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to Condensed Consolidated Financial Statements (Unaudited)</w:t>
      </w:r>
    </w:p>
    <w:p>
      <w:pPr>
        <w:spacing w:after="0" w:line="139" w:lineRule="exact"/>
        <w:rPr>
          <w:sz w:val="20"/>
          <w:szCs w:val="20"/>
          <w:color w:val="auto"/>
        </w:rPr>
      </w:pPr>
    </w:p>
    <w:p>
      <w:pPr>
        <w:ind w:left="440"/>
        <w:spacing w:after="0"/>
        <w:rPr>
          <w:sz w:val="20"/>
          <w:szCs w:val="20"/>
          <w:color w:val="auto"/>
        </w:rPr>
      </w:pPr>
      <w:r>
        <w:rPr>
          <w:rFonts w:ascii="Arial" w:cs="Arial" w:eastAsia="Arial" w:hAnsi="Arial"/>
          <w:sz w:val="18"/>
          <w:szCs w:val="18"/>
          <w:b w:val="1"/>
          <w:bCs w:val="1"/>
          <w:color w:val="auto"/>
        </w:rPr>
        <w:t>Foreign Currency Translation and Transactions</w:t>
      </w:r>
    </w:p>
    <w:p>
      <w:pPr>
        <w:spacing w:after="0" w:line="121" w:lineRule="exact"/>
        <w:rPr>
          <w:sz w:val="20"/>
          <w:szCs w:val="20"/>
          <w:color w:val="auto"/>
        </w:rPr>
      </w:pPr>
    </w:p>
    <w:p>
      <w:pPr>
        <w:ind w:left="440" w:right="60"/>
        <w:spacing w:after="0" w:line="255" w:lineRule="auto"/>
        <w:rPr>
          <w:sz w:val="20"/>
          <w:szCs w:val="20"/>
          <w:color w:val="auto"/>
        </w:rPr>
      </w:pPr>
      <w:r>
        <w:rPr>
          <w:rFonts w:ascii="Arial" w:cs="Arial" w:eastAsia="Arial" w:hAnsi="Arial"/>
          <w:sz w:val="18"/>
          <w:szCs w:val="18"/>
          <w:color w:val="auto"/>
        </w:rPr>
        <w:t>Assets and liabilities of the Company’s foreign subsidiaries, whose functional currency is the local currency, are translated at year-end rates of exchange, and the statements of operations are translated at the average rates of exchange for the year. Gains or losses resulting from translating foreign currency financial statements are accumulated in a separate component of stockholders’ deficiency. Gains or losses from foreign currency transactions (transactions denominated in a currency other than the entity’s local currency) are included in other expense, net in the unaudited condensed consolidated statements of operations and totaled $346,865 and $55,646 during the nine months ended December 31, 2018 and 2017, respectively.</w:t>
      </w:r>
    </w:p>
    <w:p>
      <w:pPr>
        <w:spacing w:after="0" w:line="297" w:lineRule="exact"/>
        <w:rPr>
          <w:sz w:val="20"/>
          <w:szCs w:val="20"/>
          <w:color w:val="auto"/>
        </w:rPr>
      </w:pPr>
    </w:p>
    <w:p>
      <w:pPr>
        <w:ind w:left="440"/>
        <w:spacing w:after="0"/>
        <w:rPr>
          <w:sz w:val="20"/>
          <w:szCs w:val="20"/>
          <w:color w:val="auto"/>
        </w:rPr>
      </w:pPr>
      <w:r>
        <w:rPr>
          <w:rFonts w:ascii="Arial" w:cs="Arial" w:eastAsia="Arial" w:hAnsi="Arial"/>
          <w:sz w:val="18"/>
          <w:szCs w:val="18"/>
          <w:b w:val="1"/>
          <w:bCs w:val="1"/>
          <w:color w:val="auto"/>
        </w:rPr>
        <w:t>Financial Instruments</w:t>
      </w:r>
    </w:p>
    <w:p>
      <w:pPr>
        <w:spacing w:after="0" w:line="121" w:lineRule="exact"/>
        <w:rPr>
          <w:sz w:val="20"/>
          <w:szCs w:val="20"/>
          <w:color w:val="auto"/>
        </w:rPr>
      </w:pPr>
    </w:p>
    <w:p>
      <w:pPr>
        <w:jc w:val="both"/>
        <w:ind w:left="440"/>
        <w:spacing w:after="0" w:line="264" w:lineRule="auto"/>
        <w:rPr>
          <w:sz w:val="20"/>
          <w:szCs w:val="20"/>
          <w:color w:val="auto"/>
        </w:rPr>
      </w:pPr>
      <w:r>
        <w:rPr>
          <w:rFonts w:ascii="Arial" w:cs="Arial" w:eastAsia="Arial" w:hAnsi="Arial"/>
          <w:sz w:val="18"/>
          <w:szCs w:val="18"/>
          <w:color w:val="auto"/>
        </w:rPr>
        <w:t>The Company’s financial instruments, including cash, accounts receivable, prepaid expenses, accounts payable and accrued expenses are reflected in the accompanying unaudited condensed consolidated financial statements at carrying value, which approximates fair value because of the short-term maturity of these instruments.</w:t>
      </w:r>
    </w:p>
    <w:p>
      <w:pPr>
        <w:spacing w:after="0" w:line="285" w:lineRule="exact"/>
        <w:rPr>
          <w:sz w:val="20"/>
          <w:szCs w:val="20"/>
          <w:color w:val="auto"/>
        </w:rPr>
      </w:pPr>
    </w:p>
    <w:p>
      <w:pPr>
        <w:ind w:left="440"/>
        <w:spacing w:after="0"/>
        <w:rPr>
          <w:sz w:val="20"/>
          <w:szCs w:val="20"/>
          <w:color w:val="auto"/>
        </w:rPr>
      </w:pPr>
      <w:r>
        <w:rPr>
          <w:rFonts w:ascii="Arial" w:cs="Arial" w:eastAsia="Arial" w:hAnsi="Arial"/>
          <w:sz w:val="18"/>
          <w:szCs w:val="18"/>
          <w:b w:val="1"/>
          <w:bCs w:val="1"/>
          <w:color w:val="auto"/>
        </w:rPr>
        <w:t>Recent Accounting Pronouncements</w:t>
      </w:r>
    </w:p>
    <w:p>
      <w:pPr>
        <w:spacing w:after="0" w:line="121" w:lineRule="exact"/>
        <w:rPr>
          <w:sz w:val="20"/>
          <w:szCs w:val="20"/>
          <w:color w:val="auto"/>
        </w:rPr>
      </w:pPr>
    </w:p>
    <w:p>
      <w:pPr>
        <w:ind w:left="440" w:right="20"/>
        <w:spacing w:after="0" w:line="286" w:lineRule="auto"/>
        <w:rPr>
          <w:sz w:val="20"/>
          <w:szCs w:val="20"/>
          <w:color w:val="auto"/>
        </w:rPr>
      </w:pPr>
      <w:r>
        <w:rPr>
          <w:rFonts w:ascii="Arial" w:cs="Arial" w:eastAsia="Arial" w:hAnsi="Arial"/>
          <w:sz w:val="16"/>
          <w:szCs w:val="16"/>
          <w:color w:val="auto"/>
        </w:rPr>
        <w:t xml:space="preserve">In May 2014, the FASB issued Accounting Standards Update (“ASU”) 2014-09, </w:t>
      </w:r>
      <w:r>
        <w:rPr>
          <w:rFonts w:ascii="Arial" w:cs="Arial" w:eastAsia="Arial" w:hAnsi="Arial"/>
          <w:sz w:val="16"/>
          <w:szCs w:val="16"/>
          <w:i w:val="1"/>
          <w:iCs w:val="1"/>
          <w:color w:val="auto"/>
        </w:rPr>
        <w:t>Revenue from Contracts with Customers</w:t>
      </w:r>
      <w:r>
        <w:rPr>
          <w:rFonts w:ascii="Arial" w:cs="Arial" w:eastAsia="Arial" w:hAnsi="Arial"/>
          <w:sz w:val="16"/>
          <w:szCs w:val="16"/>
          <w:color w:val="auto"/>
        </w:rPr>
        <w:t>, which requires that an entity recognize the amount of revenue to which it expects to be entitled for the transfer of promised goods or services to its customers. In order to achieve this core principle, an entity should apply the following steps (1) identify the contract(s) with a customer; (2) identify the performance obligations in the contract; (3) determine the transaction price; (4) allocate the transaction price to the performance obligations in the contract; and</w:t>
      </w:r>
    </w:p>
    <w:p>
      <w:pPr>
        <w:spacing w:after="0" w:line="2" w:lineRule="exact"/>
        <w:rPr>
          <w:sz w:val="20"/>
          <w:szCs w:val="20"/>
          <w:color w:val="auto"/>
        </w:rPr>
      </w:pPr>
    </w:p>
    <w:p>
      <w:pPr>
        <w:jc w:val="both"/>
        <w:ind w:left="440" w:right="220" w:firstLine="4"/>
        <w:spacing w:after="0" w:line="254" w:lineRule="auto"/>
        <w:tabs>
          <w:tab w:leader="none" w:pos="695" w:val="left"/>
        </w:tabs>
        <w:numPr>
          <w:ilvl w:val="0"/>
          <w:numId w:val="12"/>
        </w:numPr>
        <w:rPr>
          <w:rFonts w:ascii="Arial" w:cs="Arial" w:eastAsia="Arial" w:hAnsi="Arial"/>
          <w:sz w:val="18"/>
          <w:szCs w:val="18"/>
          <w:color w:val="auto"/>
        </w:rPr>
      </w:pPr>
      <w:r>
        <w:rPr>
          <w:rFonts w:ascii="Arial" w:cs="Arial" w:eastAsia="Arial" w:hAnsi="Arial"/>
          <w:sz w:val="18"/>
          <w:szCs w:val="18"/>
          <w:color w:val="auto"/>
        </w:rPr>
        <w:t>recognize revenue when (or as) the entity satisfies a performance obligation. This update will replace existing revenue recognition guidance under GAAP when it becomes effective for the Company beginning April 1, 2019, with certain early adoption permitted. The updated standard will permit the use of either the retrospective or cumulative effect transition method. The Company is currently evaluating the impact of this update on its unaudited condensed consolidated financial statements.</w:t>
      </w:r>
    </w:p>
    <w:p>
      <w:pPr>
        <w:spacing w:after="0" w:line="82" w:lineRule="exact"/>
        <w:rPr>
          <w:sz w:val="20"/>
          <w:szCs w:val="20"/>
          <w:color w:val="auto"/>
        </w:rPr>
      </w:pPr>
    </w:p>
    <w:p>
      <w:pPr>
        <w:ind w:left="440"/>
        <w:spacing w:after="0" w:line="271" w:lineRule="auto"/>
        <w:rPr>
          <w:sz w:val="20"/>
          <w:szCs w:val="20"/>
          <w:color w:val="auto"/>
        </w:rPr>
      </w:pPr>
      <w:r>
        <w:rPr>
          <w:rFonts w:ascii="Arial" w:cs="Arial" w:eastAsia="Arial" w:hAnsi="Arial"/>
          <w:sz w:val="17"/>
          <w:szCs w:val="17"/>
          <w:color w:val="auto"/>
        </w:rPr>
        <w:t xml:space="preserve">In April 2016, the FASB issued ASU 2016-10, </w:t>
      </w:r>
      <w:r>
        <w:rPr>
          <w:rFonts w:ascii="Arial" w:cs="Arial" w:eastAsia="Arial" w:hAnsi="Arial"/>
          <w:sz w:val="17"/>
          <w:szCs w:val="17"/>
          <w:i w:val="1"/>
          <w:iCs w:val="1"/>
          <w:color w:val="auto"/>
        </w:rPr>
        <w:t>Revenue from Contracts with Customers: Identifying Performance Obligations and Licensing.</w:t>
      </w:r>
      <w:r>
        <w:rPr>
          <w:rFonts w:ascii="Arial" w:cs="Arial" w:eastAsia="Arial" w:hAnsi="Arial"/>
          <w:sz w:val="17"/>
          <w:szCs w:val="17"/>
          <w:color w:val="auto"/>
        </w:rPr>
        <w:t xml:space="preserve"> This ASU was made in response to an issue communicated by the Transition Resource Group for Revenue Recognition (the TRG), a group which was formed by the FASB and the International Accounting Standards Board (IASB), (collectively, the Boards), whose objective is to inform the Boards of any issues that could arise with the implementation of a converged standard on recognition of revenue from contracts with customers. ASU 2016-10 does not change the core principal of the guidance in Topic 606, but adds clarification around identifying performance obligations and licensing. The amendments in this update affect the guidance in ASU 2014-09, </w:t>
      </w:r>
      <w:r>
        <w:rPr>
          <w:rFonts w:ascii="Arial" w:cs="Arial" w:eastAsia="Arial" w:hAnsi="Arial"/>
          <w:sz w:val="17"/>
          <w:szCs w:val="17"/>
          <w:i w:val="1"/>
          <w:iCs w:val="1"/>
          <w:color w:val="auto"/>
        </w:rPr>
        <w:t>Contracts with Customers</w:t>
      </w:r>
      <w:r>
        <w:rPr>
          <w:rFonts w:ascii="Arial" w:cs="Arial" w:eastAsia="Arial" w:hAnsi="Arial"/>
          <w:sz w:val="17"/>
          <w:szCs w:val="17"/>
          <w:color w:val="auto"/>
        </w:rPr>
        <w:t xml:space="preserve"> (Topic 606), which is not yet effective, and therefore follow the same effective date and transition requirements. Management is assessing the impact of adoption on the unaudited condensed consolidated financial statements.</w:t>
      </w:r>
    </w:p>
    <w:p>
      <w:pPr>
        <w:spacing w:after="0" w:line="71" w:lineRule="exact"/>
        <w:rPr>
          <w:sz w:val="20"/>
          <w:szCs w:val="20"/>
          <w:color w:val="auto"/>
        </w:rPr>
      </w:pPr>
    </w:p>
    <w:p>
      <w:pPr>
        <w:ind w:left="440"/>
        <w:spacing w:after="0" w:line="257" w:lineRule="auto"/>
        <w:rPr>
          <w:sz w:val="20"/>
          <w:szCs w:val="20"/>
          <w:color w:val="auto"/>
        </w:rPr>
      </w:pPr>
      <w:r>
        <w:rPr>
          <w:rFonts w:ascii="Arial" w:cs="Arial" w:eastAsia="Arial" w:hAnsi="Arial"/>
          <w:sz w:val="18"/>
          <w:szCs w:val="18"/>
          <w:color w:val="auto"/>
        </w:rPr>
        <w:t xml:space="preserve">In May 2016, the FASB issued ASU 2016-12, </w:t>
      </w:r>
      <w:r>
        <w:rPr>
          <w:rFonts w:ascii="Arial" w:cs="Arial" w:eastAsia="Arial" w:hAnsi="Arial"/>
          <w:sz w:val="18"/>
          <w:szCs w:val="18"/>
          <w:i w:val="1"/>
          <w:iCs w:val="1"/>
          <w:color w:val="auto"/>
        </w:rPr>
        <w:t>Revenue from Contracts with Customers: Narrow-Scope Improvements and Practical Expedients.</w:t>
      </w:r>
      <w:r>
        <w:rPr>
          <w:rFonts w:ascii="Arial" w:cs="Arial" w:eastAsia="Arial" w:hAnsi="Arial"/>
          <w:sz w:val="18"/>
          <w:szCs w:val="18"/>
          <w:color w:val="auto"/>
        </w:rPr>
        <w:t xml:space="preserve"> This ASU amends certain aspects of the Board’s new revenue standard, ASU 2014-09. The amendments include the collectability of revenue, presentation of sales tax and other similar taxes collected from customers, contracts containing noncash considerations, and contract modifications and completed contracts at transition. Management is assessing the impact of adoption on the unaudited condensed consolidated financial statements.</w:t>
      </w:r>
    </w:p>
    <w:p>
      <w:pPr>
        <w:spacing w:after="0" w:line="80" w:lineRule="exact"/>
        <w:rPr>
          <w:sz w:val="20"/>
          <w:szCs w:val="20"/>
          <w:color w:val="auto"/>
        </w:rPr>
      </w:pPr>
    </w:p>
    <w:p>
      <w:pPr>
        <w:ind w:left="440" w:right="240"/>
        <w:spacing w:after="0" w:line="342" w:lineRule="auto"/>
        <w:rPr>
          <w:sz w:val="20"/>
          <w:szCs w:val="20"/>
          <w:color w:val="auto"/>
        </w:rPr>
      </w:pPr>
      <w:r>
        <w:rPr>
          <w:rFonts w:ascii="Arial" w:cs="Arial" w:eastAsia="Arial" w:hAnsi="Arial"/>
          <w:sz w:val="16"/>
          <w:szCs w:val="16"/>
          <w:color w:val="auto"/>
        </w:rPr>
        <w:t xml:space="preserve">In February 2016, the FASB issued ASU No. 2016-02, </w:t>
      </w:r>
      <w:r>
        <w:rPr>
          <w:rFonts w:ascii="Arial" w:cs="Arial" w:eastAsia="Arial" w:hAnsi="Arial"/>
          <w:sz w:val="16"/>
          <w:szCs w:val="16"/>
          <w:i w:val="1"/>
          <w:iCs w:val="1"/>
          <w:color w:val="auto"/>
        </w:rPr>
        <w:t>Leases</w:t>
      </w:r>
      <w:r>
        <w:rPr>
          <w:rFonts w:ascii="Arial" w:cs="Arial" w:eastAsia="Arial" w:hAnsi="Arial"/>
          <w:sz w:val="16"/>
          <w:szCs w:val="16"/>
          <w:color w:val="auto"/>
        </w:rPr>
        <w:t>. The FASB issued this update to increase transparency and comparability among organizations by recognizing lease assets and lease liabilities on the balance sheet and disclosing key information about leasing arrangements.</w:t>
      </w:r>
    </w:p>
    <w:p>
      <w:pPr>
        <w:spacing w:after="0" w:line="5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000"/>
          </w:cols>
          <w:pgMar w:left="440" w:top="270" w:right="459" w:bottom="1440" w:gutter="0" w:footer="0" w:header="0"/>
        </w:sectPr>
      </w:pPr>
    </w:p>
    <w:bookmarkStart w:id="31" w:name="page32"/>
    <w:bookmarkEnd w:id="31"/>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SiriusDecisions, Inc. and Subsidiaries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to Condensed Consolidated Financial Statements (Unaudited)</w:t>
      </w:r>
    </w:p>
    <w:p>
      <w:pPr>
        <w:spacing w:after="0" w:line="143" w:lineRule="exact"/>
        <w:rPr>
          <w:sz w:val="20"/>
          <w:szCs w:val="20"/>
          <w:color w:val="auto"/>
        </w:rPr>
      </w:pPr>
    </w:p>
    <w:p>
      <w:pPr>
        <w:ind w:left="440" w:right="20"/>
        <w:spacing w:after="0" w:line="342" w:lineRule="auto"/>
        <w:rPr>
          <w:sz w:val="20"/>
          <w:szCs w:val="20"/>
          <w:color w:val="auto"/>
        </w:rPr>
      </w:pPr>
      <w:r>
        <w:rPr>
          <w:rFonts w:ascii="Arial" w:cs="Arial" w:eastAsia="Arial" w:hAnsi="Arial"/>
          <w:sz w:val="16"/>
          <w:szCs w:val="16"/>
          <w:color w:val="auto"/>
        </w:rPr>
        <w:t>The updated guidance is effective for annual periods beginning after December 15, 2019. Early adoption of the update is permitted. The Company is currently evaluating the new guidance to determine the impact it will have on its unaudited condensed consolidated financial statements.</w:t>
      </w:r>
    </w:p>
    <w:p>
      <w:pPr>
        <w:spacing w:after="0" w:line="16" w:lineRule="exact"/>
        <w:rPr>
          <w:sz w:val="20"/>
          <w:szCs w:val="20"/>
          <w:color w:val="auto"/>
        </w:rPr>
      </w:pPr>
    </w:p>
    <w:p>
      <w:pPr>
        <w:ind w:left="440" w:right="20"/>
        <w:spacing w:after="0" w:line="257" w:lineRule="auto"/>
        <w:rPr>
          <w:sz w:val="20"/>
          <w:szCs w:val="20"/>
          <w:color w:val="auto"/>
        </w:rPr>
      </w:pPr>
      <w:r>
        <w:rPr>
          <w:rFonts w:ascii="Arial" w:cs="Arial" w:eastAsia="Arial" w:hAnsi="Arial"/>
          <w:sz w:val="18"/>
          <w:szCs w:val="18"/>
          <w:color w:val="auto"/>
        </w:rPr>
        <w:t xml:space="preserve">In August 2016, the FASB issued ASU 2016-15, </w:t>
      </w:r>
      <w:r>
        <w:rPr>
          <w:rFonts w:ascii="Arial" w:cs="Arial" w:eastAsia="Arial" w:hAnsi="Arial"/>
          <w:sz w:val="18"/>
          <w:szCs w:val="18"/>
          <w:i w:val="1"/>
          <w:iCs w:val="1"/>
          <w:color w:val="auto"/>
        </w:rPr>
        <w:t>Classification of Certain Cash Receipts and Cash Payments.</w:t>
      </w:r>
      <w:r>
        <w:rPr>
          <w:rFonts w:ascii="Arial" w:cs="Arial" w:eastAsia="Arial" w:hAnsi="Arial"/>
          <w:sz w:val="18"/>
          <w:szCs w:val="18"/>
          <w:color w:val="auto"/>
        </w:rPr>
        <w:t xml:space="preserve"> This ASU addresses the diversity in practice in how certain cash receipts and cash payments are presented and classified in the statement of cash flows. This update addresses eight specific cash flow issues with the objective of reducing the existing diversity in practice. The guidance is effective for annual periods beginning after December 15, 2017 and interim periods therein. The adoption of this guidance on April 1, 2018 did not have a significant impact on the Company’s unaudited condensed consolidated financial statements.</w:t>
      </w:r>
    </w:p>
    <w:p>
      <w:pPr>
        <w:spacing w:after="0" w:line="292" w:lineRule="exact"/>
        <w:rPr>
          <w:sz w:val="20"/>
          <w:szCs w:val="20"/>
          <w:color w:val="auto"/>
        </w:rPr>
      </w:pPr>
    </w:p>
    <w:p>
      <w:pPr>
        <w:ind w:left="440"/>
        <w:spacing w:after="0"/>
        <w:rPr>
          <w:sz w:val="20"/>
          <w:szCs w:val="20"/>
          <w:color w:val="auto"/>
        </w:rPr>
      </w:pPr>
      <w:r>
        <w:rPr>
          <w:rFonts w:ascii="Arial" w:cs="Arial" w:eastAsia="Arial" w:hAnsi="Arial"/>
          <w:sz w:val="18"/>
          <w:szCs w:val="18"/>
          <w:b w:val="1"/>
          <w:bCs w:val="1"/>
          <w:color w:val="auto"/>
        </w:rPr>
        <w:t>Subsequent Events</w:t>
      </w:r>
    </w:p>
    <w:p>
      <w:pPr>
        <w:spacing w:after="0" w:line="121" w:lineRule="exact"/>
        <w:rPr>
          <w:sz w:val="20"/>
          <w:szCs w:val="20"/>
          <w:color w:val="auto"/>
        </w:rPr>
      </w:pPr>
    </w:p>
    <w:p>
      <w:pPr>
        <w:ind w:left="440" w:right="260"/>
        <w:spacing w:after="0" w:line="277" w:lineRule="auto"/>
        <w:rPr>
          <w:sz w:val="20"/>
          <w:szCs w:val="20"/>
          <w:color w:val="auto"/>
        </w:rPr>
      </w:pPr>
      <w:r>
        <w:rPr>
          <w:rFonts w:ascii="Arial" w:cs="Arial" w:eastAsia="Arial" w:hAnsi="Arial"/>
          <w:sz w:val="18"/>
          <w:szCs w:val="18"/>
          <w:color w:val="auto"/>
        </w:rPr>
        <w:t>The Company has evaluated events through March 21, 2019, which is the date the unaudited condensed consolidated financial statements were available to be issued.</w:t>
      </w:r>
    </w:p>
    <w:p>
      <w:pPr>
        <w:spacing w:after="0" w:line="315" w:lineRule="exact"/>
        <w:rPr>
          <w:sz w:val="20"/>
          <w:szCs w:val="20"/>
          <w:color w:val="auto"/>
        </w:rPr>
      </w:pPr>
    </w:p>
    <w:p>
      <w:pPr>
        <w:ind w:left="440" w:hanging="436"/>
        <w:spacing w:after="0"/>
        <w:tabs>
          <w:tab w:leader="none" w:pos="440" w:val="left"/>
        </w:tabs>
        <w:numPr>
          <w:ilvl w:val="0"/>
          <w:numId w:val="13"/>
        </w:numPr>
        <w:rPr>
          <w:rFonts w:ascii="Arial" w:cs="Arial" w:eastAsia="Arial" w:hAnsi="Arial"/>
          <w:sz w:val="18"/>
          <w:szCs w:val="18"/>
          <w:b w:val="1"/>
          <w:bCs w:val="1"/>
          <w:color w:val="auto"/>
        </w:rPr>
      </w:pPr>
      <w:r>
        <w:rPr>
          <w:rFonts w:ascii="Arial" w:cs="Arial" w:eastAsia="Arial" w:hAnsi="Arial"/>
          <w:sz w:val="18"/>
          <w:szCs w:val="18"/>
          <w:b w:val="1"/>
          <w:bCs w:val="1"/>
          <w:color w:val="auto"/>
        </w:rPr>
        <w:t>Line of Credit</w:t>
      </w:r>
    </w:p>
    <w:p>
      <w:pPr>
        <w:spacing w:after="0" w:line="121" w:lineRule="exact"/>
        <w:rPr>
          <w:rFonts w:ascii="Arial" w:cs="Arial" w:eastAsia="Arial" w:hAnsi="Arial"/>
          <w:sz w:val="18"/>
          <w:szCs w:val="18"/>
          <w:b w:val="1"/>
          <w:bCs w:val="1"/>
          <w:color w:val="auto"/>
        </w:rPr>
      </w:pPr>
    </w:p>
    <w:p>
      <w:pPr>
        <w:ind w:left="440" w:right="80"/>
        <w:spacing w:after="0" w:line="255" w:lineRule="auto"/>
        <w:rPr>
          <w:rFonts w:ascii="Arial" w:cs="Arial" w:eastAsia="Arial" w:hAnsi="Arial"/>
          <w:sz w:val="18"/>
          <w:szCs w:val="18"/>
          <w:b w:val="1"/>
          <w:bCs w:val="1"/>
          <w:color w:val="auto"/>
        </w:rPr>
      </w:pPr>
      <w:r>
        <w:rPr>
          <w:rFonts w:ascii="Arial" w:cs="Arial" w:eastAsia="Arial" w:hAnsi="Arial"/>
          <w:sz w:val="18"/>
          <w:szCs w:val="18"/>
          <w:color w:val="auto"/>
        </w:rPr>
        <w:t>The Company renewed its revolving line of credit on March 31, 2018, and the total facility was increased from $10 million to $15 million, which gives the Company the ability to borrow up to $15 million limited by a borrowing base, as defined in the agreement for working capital and other general corporate needs in the ordinary course of business. Within the line of credit there is a sub-facility for letters of credit not to exceed $2,000,000. The loan agreement matures on March 31, 2020 and is subject to renewal. The loan is secured by substantially all of the assets of the Company. Amounts outstanding on the loan are assessed interest charges of the Prime Rate in effect on such day plus one half percent per annum and any undrawn portion will be charged an unused fee of 0.125%. There were no amounts outstanding on the line of credit as of December 31, 2018.</w:t>
      </w:r>
    </w:p>
    <w:p>
      <w:pPr>
        <w:spacing w:after="0" w:line="333" w:lineRule="exact"/>
        <w:rPr>
          <w:rFonts w:ascii="Arial" w:cs="Arial" w:eastAsia="Arial" w:hAnsi="Arial"/>
          <w:sz w:val="18"/>
          <w:szCs w:val="18"/>
          <w:b w:val="1"/>
          <w:bCs w:val="1"/>
          <w:color w:val="auto"/>
        </w:rPr>
      </w:pPr>
    </w:p>
    <w:p>
      <w:pPr>
        <w:ind w:left="440" w:hanging="436"/>
        <w:spacing w:after="0"/>
        <w:tabs>
          <w:tab w:leader="none" w:pos="440" w:val="left"/>
        </w:tabs>
        <w:numPr>
          <w:ilvl w:val="0"/>
          <w:numId w:val="13"/>
        </w:numPr>
        <w:rPr>
          <w:rFonts w:ascii="Arial" w:cs="Arial" w:eastAsia="Arial" w:hAnsi="Arial"/>
          <w:sz w:val="18"/>
          <w:szCs w:val="18"/>
          <w:b w:val="1"/>
          <w:bCs w:val="1"/>
          <w:color w:val="auto"/>
        </w:rPr>
      </w:pPr>
      <w:r>
        <w:rPr>
          <w:rFonts w:ascii="Arial" w:cs="Arial" w:eastAsia="Arial" w:hAnsi="Arial"/>
          <w:sz w:val="18"/>
          <w:szCs w:val="18"/>
          <w:b w:val="1"/>
          <w:bCs w:val="1"/>
          <w:color w:val="auto"/>
        </w:rPr>
        <w:t>Income Taxes</w:t>
      </w:r>
    </w:p>
    <w:p>
      <w:pPr>
        <w:spacing w:after="0" w:line="121" w:lineRule="exact"/>
        <w:rPr>
          <w:rFonts w:ascii="Arial" w:cs="Arial" w:eastAsia="Arial" w:hAnsi="Arial"/>
          <w:sz w:val="18"/>
          <w:szCs w:val="18"/>
          <w:b w:val="1"/>
          <w:bCs w:val="1"/>
          <w:color w:val="auto"/>
        </w:rPr>
      </w:pPr>
    </w:p>
    <w:p>
      <w:pPr>
        <w:ind w:left="440" w:right="240"/>
        <w:spacing w:after="0" w:line="257" w:lineRule="auto"/>
        <w:rPr>
          <w:rFonts w:ascii="Arial" w:cs="Arial" w:eastAsia="Arial" w:hAnsi="Arial"/>
          <w:sz w:val="18"/>
          <w:szCs w:val="18"/>
          <w:b w:val="1"/>
          <w:bCs w:val="1"/>
          <w:color w:val="auto"/>
        </w:rPr>
      </w:pPr>
      <w:r>
        <w:rPr>
          <w:rFonts w:ascii="Arial" w:cs="Arial" w:eastAsia="Arial" w:hAnsi="Arial"/>
          <w:sz w:val="18"/>
          <w:szCs w:val="18"/>
          <w:color w:val="auto"/>
        </w:rPr>
        <w:t>On December 22, 2017, the United States enacted the 2017 Tax Cuts and Job Act (“Tax Reform”) which made significant changes to United States federal income tax law which affects the Company. Effective January 1, 2018, the U.S. federal income tax rate is reduced to 21 percent from 35 percent. As a result of the Tax Reform, the Company reduced its deferred tax assets and liabilities as of December 31, 2017. This reduction was offset entirely by a change in the Company’s valuation allowance as the Company maintains a full valuation allowance on its net deferred tax assets.</w:t>
      </w:r>
    </w:p>
    <w:p>
      <w:pPr>
        <w:spacing w:after="0" w:line="80" w:lineRule="exact"/>
        <w:rPr>
          <w:rFonts w:ascii="Arial" w:cs="Arial" w:eastAsia="Arial" w:hAnsi="Arial"/>
          <w:sz w:val="18"/>
          <w:szCs w:val="18"/>
          <w:b w:val="1"/>
          <w:bCs w:val="1"/>
          <w:color w:val="auto"/>
        </w:rPr>
      </w:pPr>
    </w:p>
    <w:p>
      <w:pPr>
        <w:ind w:left="440"/>
        <w:spacing w:after="0" w:line="259" w:lineRule="auto"/>
        <w:rPr>
          <w:rFonts w:ascii="Arial" w:cs="Arial" w:eastAsia="Arial" w:hAnsi="Arial"/>
          <w:sz w:val="18"/>
          <w:szCs w:val="18"/>
          <w:b w:val="1"/>
          <w:bCs w:val="1"/>
          <w:color w:val="auto"/>
        </w:rPr>
      </w:pPr>
      <w:r>
        <w:rPr>
          <w:rFonts w:ascii="Arial" w:cs="Arial" w:eastAsia="Arial" w:hAnsi="Arial"/>
          <w:sz w:val="18"/>
          <w:szCs w:val="18"/>
          <w:color w:val="auto"/>
        </w:rPr>
        <w:t>There were no current or deferred income tax provisions for the nine months ended December 31, 2018 or 2017. The Company has concluded it is more likely than not that all future tax benefits will not be fully realized and has provided a full 100% valuation allowance against its net deferred tax assets. The effective tax rate of the Company’s provision for income taxes differs from the federal statutory rate due to the effect of a full valuation allowance.</w:t>
      </w:r>
    </w:p>
    <w:p>
      <w:pPr>
        <w:spacing w:after="0" w:line="331" w:lineRule="exact"/>
        <w:rPr>
          <w:rFonts w:ascii="Arial" w:cs="Arial" w:eastAsia="Arial" w:hAnsi="Arial"/>
          <w:sz w:val="18"/>
          <w:szCs w:val="18"/>
          <w:b w:val="1"/>
          <w:bCs w:val="1"/>
          <w:color w:val="auto"/>
        </w:rPr>
      </w:pPr>
    </w:p>
    <w:p>
      <w:pPr>
        <w:ind w:left="440" w:right="6100" w:hanging="436"/>
        <w:spacing w:after="0" w:line="378" w:lineRule="auto"/>
        <w:tabs>
          <w:tab w:leader="none" w:pos="432" w:val="left"/>
        </w:tabs>
        <w:numPr>
          <w:ilvl w:val="0"/>
          <w:numId w:val="13"/>
        </w:numPr>
        <w:rPr>
          <w:rFonts w:ascii="Arial" w:cs="Arial" w:eastAsia="Arial" w:hAnsi="Arial"/>
          <w:sz w:val="18"/>
          <w:szCs w:val="18"/>
          <w:b w:val="1"/>
          <w:bCs w:val="1"/>
          <w:color w:val="auto"/>
        </w:rPr>
      </w:pPr>
      <w:r>
        <w:rPr>
          <w:rFonts w:ascii="Arial" w:cs="Arial" w:eastAsia="Arial" w:hAnsi="Arial"/>
          <w:sz w:val="18"/>
          <w:szCs w:val="18"/>
          <w:b w:val="1"/>
          <w:bCs w:val="1"/>
          <w:color w:val="auto"/>
        </w:rPr>
        <w:t>Convertible Preferred Stock and Stockholders’ Deficiency Corporate Structure</w:t>
      </w:r>
    </w:p>
    <w:p>
      <w:pPr>
        <w:ind w:left="440" w:right="100"/>
        <w:spacing w:after="0" w:line="259" w:lineRule="auto"/>
        <w:rPr>
          <w:rFonts w:ascii="Arial" w:cs="Arial" w:eastAsia="Arial" w:hAnsi="Arial"/>
          <w:sz w:val="18"/>
          <w:szCs w:val="18"/>
          <w:b w:val="1"/>
          <w:bCs w:val="1"/>
          <w:color w:val="auto"/>
        </w:rPr>
      </w:pPr>
      <w:r>
        <w:rPr>
          <w:rFonts w:ascii="Arial" w:cs="Arial" w:eastAsia="Arial" w:hAnsi="Arial"/>
          <w:sz w:val="18"/>
          <w:szCs w:val="18"/>
          <w:color w:val="auto"/>
        </w:rPr>
        <w:t>The Company’s Certificate of Incorporation, originally filed on July 26, 2001, most recently amended on December 17, 2013, authorized the issuance of two classes of stock to be designated, “Common Stock” and “Preferred Stock”. In April 2018, shareholders of the Company voted to increase the total number of shares which the Company is authorized to issue to 69,362,500. Of these shares, 52,450,000 shall be Common Stock and 16,912,500 shall be Preferred Stock.</w:t>
      </w:r>
    </w:p>
    <w:p>
      <w:pPr>
        <w:spacing w:after="0" w:line="11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000"/>
          </w:cols>
          <w:pgMar w:left="440" w:top="270" w:right="459" w:bottom="1440" w:gutter="0" w:footer="0" w:header="0"/>
        </w:sectPr>
      </w:pPr>
    </w:p>
    <w:bookmarkStart w:id="32" w:name="page33"/>
    <w:bookmarkEnd w:id="32"/>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SiriusDecisions, Inc. and Subsidiaries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to Condensed Consolidated Financial Statements (Unaudited)</w:t>
      </w:r>
    </w:p>
    <w:p>
      <w:pPr>
        <w:spacing w:after="0" w:line="139" w:lineRule="exact"/>
        <w:rPr>
          <w:sz w:val="20"/>
          <w:szCs w:val="20"/>
          <w:color w:val="auto"/>
        </w:rPr>
      </w:pPr>
    </w:p>
    <w:p>
      <w:pPr>
        <w:ind w:left="440"/>
        <w:spacing w:after="0"/>
        <w:rPr>
          <w:sz w:val="20"/>
          <w:szCs w:val="20"/>
          <w:color w:val="auto"/>
        </w:rPr>
      </w:pPr>
      <w:r>
        <w:rPr>
          <w:rFonts w:ascii="Arial" w:cs="Arial" w:eastAsia="Arial" w:hAnsi="Arial"/>
          <w:sz w:val="18"/>
          <w:szCs w:val="18"/>
          <w:b w:val="1"/>
          <w:bCs w:val="1"/>
          <w:color w:val="auto"/>
        </w:rPr>
        <w:t>Common Stock</w:t>
      </w:r>
    </w:p>
    <w:p>
      <w:pPr>
        <w:spacing w:after="0" w:line="121" w:lineRule="exact"/>
        <w:rPr>
          <w:sz w:val="20"/>
          <w:szCs w:val="20"/>
          <w:color w:val="auto"/>
        </w:rPr>
      </w:pPr>
    </w:p>
    <w:p>
      <w:pPr>
        <w:jc w:val="both"/>
        <w:ind w:left="440" w:right="260"/>
        <w:spacing w:after="0" w:line="286" w:lineRule="auto"/>
        <w:rPr>
          <w:sz w:val="20"/>
          <w:szCs w:val="20"/>
          <w:color w:val="auto"/>
        </w:rPr>
      </w:pPr>
      <w:r>
        <w:rPr>
          <w:rFonts w:ascii="Arial" w:cs="Arial" w:eastAsia="Arial" w:hAnsi="Arial"/>
          <w:sz w:val="17"/>
          <w:szCs w:val="17"/>
          <w:color w:val="auto"/>
        </w:rPr>
        <w:t>The holders of Common Stock of the Company are entitled to liquidation proceeds ratably after all Series A Convertible Redeemable Preferred Stock (“Preferred Shares”) liquidation preferences are satisfied. Dividends as declared by the Board are subordinate to preferential rights of the Preferred Series. Voting rights for Common Stock entitles holders to one vote for each share held.</w:t>
      </w:r>
    </w:p>
    <w:p>
      <w:pPr>
        <w:spacing w:after="0" w:line="270" w:lineRule="exact"/>
        <w:rPr>
          <w:sz w:val="20"/>
          <w:szCs w:val="20"/>
          <w:color w:val="auto"/>
        </w:rPr>
      </w:pPr>
    </w:p>
    <w:p>
      <w:pPr>
        <w:ind w:left="440"/>
        <w:spacing w:after="0"/>
        <w:rPr>
          <w:sz w:val="20"/>
          <w:szCs w:val="20"/>
          <w:color w:val="auto"/>
        </w:rPr>
      </w:pPr>
      <w:r>
        <w:rPr>
          <w:rFonts w:ascii="Arial" w:cs="Arial" w:eastAsia="Arial" w:hAnsi="Arial"/>
          <w:sz w:val="18"/>
          <w:szCs w:val="18"/>
          <w:b w:val="1"/>
          <w:bCs w:val="1"/>
          <w:color w:val="auto"/>
        </w:rPr>
        <w:t>Series A Redeemable Convertible Preferred Stock</w:t>
      </w:r>
    </w:p>
    <w:p>
      <w:pPr>
        <w:spacing w:after="0" w:line="121" w:lineRule="exact"/>
        <w:rPr>
          <w:sz w:val="20"/>
          <w:szCs w:val="20"/>
          <w:color w:val="auto"/>
        </w:rPr>
      </w:pPr>
    </w:p>
    <w:p>
      <w:pPr>
        <w:ind w:left="440" w:right="120"/>
        <w:spacing w:after="0" w:line="264" w:lineRule="auto"/>
        <w:rPr>
          <w:sz w:val="20"/>
          <w:szCs w:val="20"/>
          <w:color w:val="auto"/>
        </w:rPr>
      </w:pPr>
      <w:r>
        <w:rPr>
          <w:rFonts w:ascii="Arial" w:cs="Arial" w:eastAsia="Arial" w:hAnsi="Arial"/>
          <w:sz w:val="18"/>
          <w:szCs w:val="18"/>
          <w:color w:val="auto"/>
        </w:rPr>
        <w:t>On December 17, 2013, the Company entered into a minority investment arrangement funded by an outside investment (“PE firm”) firm. As part of the transaction, the PE firm purchased 16,912,500 shares of Series A Convertible Preferred Stock for approximately $37,292,000, net of offering costs of approximately $661,000.</w:t>
      </w:r>
    </w:p>
    <w:p>
      <w:pPr>
        <w:spacing w:after="0" w:line="73"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PE firm received 100% of the issued preferred shares of the Company, which contains the following summarized terms.</w:t>
      </w:r>
    </w:p>
    <w:p>
      <w:pPr>
        <w:spacing w:after="0" w:line="333" w:lineRule="exact"/>
        <w:rPr>
          <w:sz w:val="20"/>
          <w:szCs w:val="20"/>
          <w:color w:val="auto"/>
        </w:rPr>
      </w:pPr>
    </w:p>
    <w:p>
      <w:pPr>
        <w:ind w:left="440"/>
        <w:spacing w:after="0"/>
        <w:rPr>
          <w:sz w:val="20"/>
          <w:szCs w:val="20"/>
          <w:color w:val="auto"/>
        </w:rPr>
      </w:pPr>
      <w:r>
        <w:rPr>
          <w:rFonts w:ascii="Arial" w:cs="Arial" w:eastAsia="Arial" w:hAnsi="Arial"/>
          <w:sz w:val="18"/>
          <w:szCs w:val="18"/>
          <w:b w:val="1"/>
          <w:bCs w:val="1"/>
          <w:i w:val="1"/>
          <w:iCs w:val="1"/>
          <w:color w:val="auto"/>
        </w:rPr>
        <w:t>Dividends</w:t>
      </w:r>
    </w:p>
    <w:p>
      <w:pPr>
        <w:spacing w:after="0" w:line="117" w:lineRule="exact"/>
        <w:rPr>
          <w:sz w:val="20"/>
          <w:szCs w:val="20"/>
          <w:color w:val="auto"/>
        </w:rPr>
      </w:pPr>
    </w:p>
    <w:p>
      <w:pPr>
        <w:ind w:left="440" w:right="160"/>
        <w:spacing w:after="0" w:line="276" w:lineRule="auto"/>
        <w:rPr>
          <w:sz w:val="20"/>
          <w:szCs w:val="20"/>
          <w:color w:val="auto"/>
        </w:rPr>
      </w:pPr>
      <w:r>
        <w:rPr>
          <w:rFonts w:ascii="Arial" w:cs="Arial" w:eastAsia="Arial" w:hAnsi="Arial"/>
          <w:sz w:val="17"/>
          <w:szCs w:val="17"/>
          <w:color w:val="auto"/>
        </w:rPr>
        <w:t>An 8% per share dividend will accrue annually, although it will only be payable in the event of a redemption or deemed liquidation, as defined. Accrued dividends amounted to approximately $15,021,038 and $12,783,515 at December 31, 2018 and March 31, 2018, respectively. Preferred stock dividends amounting to $2,237,523, were accreted for both the nine months ended December 31, 2018 and 2017. As total fair value of Preferred Stock at December 31, 2018 and 2017 exceeded the original investment plus accrued and unpaid dividends, total accretion for the nine months ended December 31, 2018 and 2017 was $25,576,834 and $6,721,988, respectively.</w:t>
      </w:r>
    </w:p>
    <w:p>
      <w:pPr>
        <w:spacing w:after="0" w:line="281" w:lineRule="exact"/>
        <w:rPr>
          <w:sz w:val="20"/>
          <w:szCs w:val="20"/>
          <w:color w:val="auto"/>
        </w:rPr>
      </w:pPr>
    </w:p>
    <w:p>
      <w:pPr>
        <w:ind w:left="440"/>
        <w:spacing w:after="0"/>
        <w:rPr>
          <w:sz w:val="20"/>
          <w:szCs w:val="20"/>
          <w:color w:val="auto"/>
        </w:rPr>
      </w:pPr>
      <w:r>
        <w:rPr>
          <w:rFonts w:ascii="Arial" w:cs="Arial" w:eastAsia="Arial" w:hAnsi="Arial"/>
          <w:sz w:val="18"/>
          <w:szCs w:val="18"/>
          <w:b w:val="1"/>
          <w:bCs w:val="1"/>
          <w:i w:val="1"/>
          <w:iCs w:val="1"/>
          <w:color w:val="auto"/>
        </w:rPr>
        <w:t>Liquidation</w:t>
      </w:r>
    </w:p>
    <w:p>
      <w:pPr>
        <w:spacing w:after="0" w:line="117" w:lineRule="exact"/>
        <w:rPr>
          <w:sz w:val="20"/>
          <w:szCs w:val="20"/>
          <w:color w:val="auto"/>
        </w:rPr>
      </w:pPr>
    </w:p>
    <w:p>
      <w:pPr>
        <w:ind w:left="440" w:right="20"/>
        <w:spacing w:after="0" w:line="259" w:lineRule="auto"/>
        <w:rPr>
          <w:sz w:val="20"/>
          <w:szCs w:val="20"/>
          <w:color w:val="auto"/>
        </w:rPr>
      </w:pPr>
      <w:r>
        <w:rPr>
          <w:rFonts w:ascii="Arial" w:cs="Arial" w:eastAsia="Arial" w:hAnsi="Arial"/>
          <w:sz w:val="18"/>
          <w:szCs w:val="18"/>
          <w:color w:val="auto"/>
        </w:rPr>
        <w:t>The preferred shares will be senior to common shares in the event of a sale, merger, liquidation, bankruptcy or other deemed liquidation event. In the event of such an occurrence, the preferred shareholders shall be entitled to receive the greater of (i) the aggregate amount of the original equity investment plus accrued dividends; or (ii) the amounts payable on an “as is converted to common shares basis”. The liquidation preference at December 31, 2018 amounted to approximately $81,632,000.</w:t>
      </w:r>
    </w:p>
    <w:p>
      <w:pPr>
        <w:spacing w:after="0" w:line="295" w:lineRule="exact"/>
        <w:rPr>
          <w:sz w:val="20"/>
          <w:szCs w:val="20"/>
          <w:color w:val="auto"/>
        </w:rPr>
      </w:pPr>
    </w:p>
    <w:p>
      <w:pPr>
        <w:ind w:left="440"/>
        <w:spacing w:after="0"/>
        <w:rPr>
          <w:sz w:val="20"/>
          <w:szCs w:val="20"/>
          <w:color w:val="auto"/>
        </w:rPr>
      </w:pPr>
      <w:r>
        <w:rPr>
          <w:rFonts w:ascii="Arial" w:cs="Arial" w:eastAsia="Arial" w:hAnsi="Arial"/>
          <w:sz w:val="18"/>
          <w:szCs w:val="18"/>
          <w:b w:val="1"/>
          <w:bCs w:val="1"/>
          <w:i w:val="1"/>
          <w:iCs w:val="1"/>
          <w:color w:val="auto"/>
        </w:rPr>
        <w:t>Redemption</w:t>
      </w:r>
    </w:p>
    <w:p>
      <w:pPr>
        <w:spacing w:after="0" w:line="117" w:lineRule="exact"/>
        <w:rPr>
          <w:sz w:val="20"/>
          <w:szCs w:val="20"/>
          <w:color w:val="auto"/>
        </w:rPr>
      </w:pPr>
    </w:p>
    <w:p>
      <w:pPr>
        <w:ind w:left="440" w:right="200"/>
        <w:spacing w:after="0" w:line="279" w:lineRule="auto"/>
        <w:rPr>
          <w:sz w:val="20"/>
          <w:szCs w:val="20"/>
          <w:color w:val="auto"/>
        </w:rPr>
      </w:pPr>
      <w:r>
        <w:rPr>
          <w:rFonts w:ascii="Arial" w:cs="Arial" w:eastAsia="Arial" w:hAnsi="Arial"/>
          <w:sz w:val="17"/>
          <w:szCs w:val="17"/>
          <w:color w:val="auto"/>
        </w:rPr>
        <w:t>At the election of the holders of a majority of the Preferred Shares, the Company shall redeem the outstanding Preferred Shares in two equal annual installments beginning on the fifth anniversary of such investment, December 17, 2018. During the year ended March 31, 2018, the Company received a waiver from the holders of the Preferred Shares extending the redemption date to July 31, 2019. Such redemptions shall be made at the greater share value of (i) fair market value; or (ii) the original equity investment plus accrued dividends.</w:t>
      </w:r>
    </w:p>
    <w:p>
      <w:pPr>
        <w:spacing w:after="0" w:line="280" w:lineRule="exact"/>
        <w:rPr>
          <w:sz w:val="20"/>
          <w:szCs w:val="20"/>
          <w:color w:val="auto"/>
        </w:rPr>
      </w:pPr>
    </w:p>
    <w:p>
      <w:pPr>
        <w:ind w:left="440"/>
        <w:spacing w:after="0"/>
        <w:rPr>
          <w:sz w:val="20"/>
          <w:szCs w:val="20"/>
          <w:color w:val="auto"/>
        </w:rPr>
      </w:pPr>
      <w:r>
        <w:rPr>
          <w:rFonts w:ascii="Arial" w:cs="Arial" w:eastAsia="Arial" w:hAnsi="Arial"/>
          <w:sz w:val="18"/>
          <w:szCs w:val="18"/>
          <w:b w:val="1"/>
          <w:bCs w:val="1"/>
          <w:i w:val="1"/>
          <w:iCs w:val="1"/>
          <w:color w:val="auto"/>
        </w:rPr>
        <w:t>Conversion</w:t>
      </w:r>
    </w:p>
    <w:p>
      <w:pPr>
        <w:spacing w:after="0" w:line="117" w:lineRule="exact"/>
        <w:rPr>
          <w:sz w:val="20"/>
          <w:szCs w:val="20"/>
          <w:color w:val="auto"/>
        </w:rPr>
      </w:pPr>
    </w:p>
    <w:p>
      <w:pPr>
        <w:ind w:left="440"/>
        <w:spacing w:after="0" w:line="273" w:lineRule="auto"/>
        <w:rPr>
          <w:sz w:val="20"/>
          <w:szCs w:val="20"/>
          <w:color w:val="auto"/>
        </w:rPr>
      </w:pPr>
      <w:r>
        <w:rPr>
          <w:rFonts w:ascii="Arial" w:cs="Arial" w:eastAsia="Arial" w:hAnsi="Arial"/>
          <w:sz w:val="17"/>
          <w:szCs w:val="17"/>
          <w:color w:val="auto"/>
        </w:rPr>
        <w:t>The holders of the Preferred Shares have the right at any time to convert all or a portion of the Preferred Shares into shares of Common Stock. The number of shares of common stock which would be issued upon conversion will be determined by dividing the original equity investment by the conversion price. The conversion price will be initially equal to the Original Equity Investment divided by the number of shares of preferred stock. In the event that the Company issues additional shares of stock or convertible securities at a purchase price or exercise price less than the then-applicable conversion price, such conversion price shall be adjusted. The shares will automatically convert in the event of an initial public offering, if such offering is greater than defined proceed levels.</w:t>
      </w:r>
    </w:p>
    <w:p>
      <w:pPr>
        <w:spacing w:after="0" w:line="1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020"/>
          </w:cols>
          <w:pgMar w:left="440" w:top="270" w:right="439" w:bottom="1440" w:gutter="0" w:footer="0" w:header="0"/>
        </w:sectPr>
      </w:pPr>
    </w:p>
    <w:bookmarkStart w:id="33" w:name="page34"/>
    <w:bookmarkEnd w:id="33"/>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SiriusDecisions, Inc. and Subsidiaries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to Condensed Consolidated Financial Statements (Unaudited)</w:t>
      </w:r>
    </w:p>
    <w:p>
      <w:pPr>
        <w:spacing w:after="0" w:line="143" w:lineRule="exact"/>
        <w:rPr>
          <w:sz w:val="20"/>
          <w:szCs w:val="20"/>
          <w:color w:val="auto"/>
        </w:rPr>
      </w:pPr>
    </w:p>
    <w:p>
      <w:pPr>
        <w:ind w:left="440"/>
        <w:spacing w:after="0"/>
        <w:rPr>
          <w:sz w:val="20"/>
          <w:szCs w:val="20"/>
          <w:color w:val="auto"/>
        </w:rPr>
      </w:pPr>
      <w:r>
        <w:rPr>
          <w:rFonts w:ascii="Arial" w:cs="Arial" w:eastAsia="Arial" w:hAnsi="Arial"/>
          <w:sz w:val="18"/>
          <w:szCs w:val="18"/>
          <w:b w:val="1"/>
          <w:bCs w:val="1"/>
          <w:i w:val="1"/>
          <w:iCs w:val="1"/>
          <w:color w:val="auto"/>
        </w:rPr>
        <w:t>Voting</w:t>
      </w:r>
    </w:p>
    <w:p>
      <w:pPr>
        <w:spacing w:after="0" w:line="117" w:lineRule="exact"/>
        <w:rPr>
          <w:sz w:val="20"/>
          <w:szCs w:val="20"/>
          <w:color w:val="auto"/>
        </w:rPr>
      </w:pPr>
    </w:p>
    <w:p>
      <w:pPr>
        <w:ind w:left="440" w:right="120"/>
        <w:spacing w:after="0" w:line="308" w:lineRule="auto"/>
        <w:rPr>
          <w:sz w:val="20"/>
          <w:szCs w:val="20"/>
          <w:color w:val="auto"/>
        </w:rPr>
      </w:pPr>
      <w:r>
        <w:rPr>
          <w:rFonts w:ascii="Arial" w:cs="Arial" w:eastAsia="Arial" w:hAnsi="Arial"/>
          <w:sz w:val="17"/>
          <w:szCs w:val="17"/>
          <w:color w:val="auto"/>
        </w:rPr>
        <w:t>The Preferred shareholders will be entitled to 2 out of 5 board seats and certain protective rights and shall be entitled to cast the number of votes equal to the number of whole shares of common stock into which the shares of Series A Preferred Stock are convertible.</w:t>
      </w:r>
    </w:p>
    <w:p>
      <w:pPr>
        <w:spacing w:after="0" w:line="38" w:lineRule="exact"/>
        <w:rPr>
          <w:sz w:val="20"/>
          <w:szCs w:val="20"/>
          <w:color w:val="auto"/>
        </w:rPr>
      </w:pPr>
    </w:p>
    <w:p>
      <w:pPr>
        <w:jc w:val="both"/>
        <w:ind w:left="440" w:right="520"/>
        <w:spacing w:after="0" w:line="312" w:lineRule="auto"/>
        <w:rPr>
          <w:sz w:val="20"/>
          <w:szCs w:val="20"/>
          <w:color w:val="auto"/>
        </w:rPr>
      </w:pPr>
      <w:r>
        <w:rPr>
          <w:rFonts w:ascii="Arial" w:cs="Arial" w:eastAsia="Arial" w:hAnsi="Arial"/>
          <w:sz w:val="16"/>
          <w:szCs w:val="16"/>
          <w:color w:val="auto"/>
        </w:rPr>
        <w:t>The Company evaluated the Series A Preferred Stock and its embedded conversion feature on the date of issuance and determined the host instrument is more akin to equity and is therefore clearly and closely related with the embedded conversion option as defined by ASC 815. Further, there were no beneficial conversion features noted. As such bifurcation of the embedded conversion feature was not required.</w:t>
      </w:r>
    </w:p>
    <w:p>
      <w:pPr>
        <w:spacing w:after="0" w:line="39" w:lineRule="exact"/>
        <w:rPr>
          <w:sz w:val="20"/>
          <w:szCs w:val="20"/>
          <w:color w:val="auto"/>
        </w:rPr>
      </w:pPr>
    </w:p>
    <w:p>
      <w:pPr>
        <w:ind w:left="440" w:right="360"/>
        <w:spacing w:after="0" w:line="277" w:lineRule="auto"/>
        <w:rPr>
          <w:sz w:val="20"/>
          <w:szCs w:val="20"/>
          <w:color w:val="auto"/>
        </w:rPr>
      </w:pPr>
      <w:r>
        <w:rPr>
          <w:rFonts w:ascii="Arial" w:cs="Arial" w:eastAsia="Arial" w:hAnsi="Arial"/>
          <w:sz w:val="18"/>
          <w:szCs w:val="18"/>
          <w:color w:val="auto"/>
        </w:rPr>
        <w:t>The Company accretes the issuance costs on its preferred stock using the straight-line method from the date of issuance to the earliest date of redemption.</w:t>
      </w:r>
    </w:p>
    <w:p>
      <w:pPr>
        <w:spacing w:after="0" w:line="315" w:lineRule="exact"/>
        <w:rPr>
          <w:sz w:val="20"/>
          <w:szCs w:val="20"/>
          <w:color w:val="auto"/>
        </w:rPr>
      </w:pPr>
    </w:p>
    <w:p>
      <w:pPr>
        <w:ind w:left="440" w:hanging="436"/>
        <w:spacing w:after="0"/>
        <w:tabs>
          <w:tab w:leader="none" w:pos="440" w:val="left"/>
        </w:tabs>
        <w:numPr>
          <w:ilvl w:val="0"/>
          <w:numId w:val="14"/>
        </w:numPr>
        <w:rPr>
          <w:rFonts w:ascii="Arial" w:cs="Arial" w:eastAsia="Arial" w:hAnsi="Arial"/>
          <w:sz w:val="18"/>
          <w:szCs w:val="18"/>
          <w:b w:val="1"/>
          <w:bCs w:val="1"/>
          <w:color w:val="auto"/>
        </w:rPr>
      </w:pPr>
      <w:r>
        <w:rPr>
          <w:rFonts w:ascii="Arial" w:cs="Arial" w:eastAsia="Arial" w:hAnsi="Arial"/>
          <w:sz w:val="18"/>
          <w:szCs w:val="18"/>
          <w:b w:val="1"/>
          <w:bCs w:val="1"/>
          <w:color w:val="auto"/>
        </w:rPr>
        <w:t>Stock Options</w:t>
      </w:r>
    </w:p>
    <w:p>
      <w:pPr>
        <w:spacing w:after="0" w:line="121" w:lineRule="exact"/>
        <w:rPr>
          <w:rFonts w:ascii="Arial" w:cs="Arial" w:eastAsia="Arial" w:hAnsi="Arial"/>
          <w:sz w:val="18"/>
          <w:szCs w:val="18"/>
          <w:b w:val="1"/>
          <w:bCs w:val="1"/>
          <w:color w:val="auto"/>
        </w:rPr>
      </w:pPr>
    </w:p>
    <w:p>
      <w:pPr>
        <w:ind w:left="440" w:right="40"/>
        <w:spacing w:after="0" w:line="257" w:lineRule="auto"/>
        <w:rPr>
          <w:rFonts w:ascii="Arial" w:cs="Arial" w:eastAsia="Arial" w:hAnsi="Arial"/>
          <w:sz w:val="18"/>
          <w:szCs w:val="18"/>
          <w:b w:val="1"/>
          <w:bCs w:val="1"/>
          <w:color w:val="auto"/>
        </w:rPr>
      </w:pPr>
      <w:r>
        <w:rPr>
          <w:rFonts w:ascii="Arial" w:cs="Arial" w:eastAsia="Arial" w:hAnsi="Arial"/>
          <w:sz w:val="18"/>
          <w:szCs w:val="18"/>
          <w:color w:val="auto"/>
        </w:rPr>
        <w:t>The Company accounts for the expected life of options in accordance with the “simplified” method provision of ASC 718-10-S55, which enables the use of the simplified method for “plain vanilla” share options. Expected volatility is calculated using the historical volatility of comparable public companies. The risk free interest rate is based on U.S. Treasury yields for securities in effect at the time of grant with terms approximating the term of the grants. The Company does not expect to issue dividends in the foreseeable future. The following assumptions were used for the nine months ended December 31, 2018 and 2017:</w:t>
      </w:r>
    </w:p>
    <w:p>
      <w:pPr>
        <w:spacing w:after="0" w:line="207" w:lineRule="exact"/>
        <w:rPr>
          <w:sz w:val="20"/>
          <w:szCs w:val="20"/>
          <w:color w:val="auto"/>
        </w:rPr>
      </w:pPr>
    </w:p>
    <w:tbl>
      <w:tblPr>
        <w:tblLayout w:type="fixed"/>
        <w:tblInd w:w="132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3940" w:type="dxa"/>
            <w:vAlign w:val="bottom"/>
          </w:tcPr>
          <w:p>
            <w:pPr>
              <w:spacing w:after="0"/>
              <w:rPr>
                <w:sz w:val="14"/>
                <w:szCs w:val="14"/>
                <w:color w:val="auto"/>
              </w:rPr>
            </w:pPr>
          </w:p>
        </w:tc>
        <w:tc>
          <w:tcPr>
            <w:tcW w:w="2200" w:type="dxa"/>
            <w:vAlign w:val="bottom"/>
          </w:tcPr>
          <w:p>
            <w:pPr>
              <w:jc w:val="right"/>
              <w:spacing w:after="0"/>
              <w:rPr>
                <w:sz w:val="20"/>
                <w:szCs w:val="20"/>
                <w:color w:val="auto"/>
              </w:rPr>
            </w:pPr>
            <w:r>
              <w:rPr>
                <w:rFonts w:ascii="Arial" w:cs="Arial" w:eastAsia="Arial" w:hAnsi="Arial"/>
                <w:sz w:val="14"/>
                <w:szCs w:val="14"/>
                <w:b w:val="1"/>
                <w:bCs w:val="1"/>
                <w:color w:val="auto"/>
              </w:rPr>
              <w:t>2018</w:t>
            </w:r>
          </w:p>
        </w:tc>
        <w:tc>
          <w:tcPr>
            <w:tcW w:w="700" w:type="dxa"/>
            <w:vAlign w:val="bottom"/>
          </w:tcPr>
          <w:p>
            <w:pPr>
              <w:spacing w:after="0"/>
              <w:rPr>
                <w:sz w:val="14"/>
                <w:szCs w:val="14"/>
                <w:color w:val="auto"/>
              </w:rPr>
            </w:pPr>
          </w:p>
        </w:tc>
        <w:tc>
          <w:tcPr>
            <w:tcW w:w="980" w:type="dxa"/>
            <w:vAlign w:val="bottom"/>
          </w:tcPr>
          <w:p>
            <w:pPr>
              <w:jc w:val="right"/>
              <w:spacing w:after="0"/>
              <w:rPr>
                <w:sz w:val="20"/>
                <w:szCs w:val="20"/>
                <w:color w:val="auto"/>
              </w:rPr>
            </w:pPr>
            <w:r>
              <w:rPr>
                <w:rFonts w:ascii="Arial" w:cs="Arial" w:eastAsia="Arial" w:hAnsi="Arial"/>
                <w:sz w:val="14"/>
                <w:szCs w:val="14"/>
                <w:b w:val="1"/>
                <w:bCs w:val="1"/>
                <w:color w:val="auto"/>
              </w:rPr>
              <w:t>2017</w:t>
            </w:r>
          </w:p>
        </w:tc>
        <w:tc>
          <w:tcPr>
            <w:tcW w:w="540" w:type="dxa"/>
            <w:vAlign w:val="bottom"/>
          </w:tcPr>
          <w:p>
            <w:pPr>
              <w:spacing w:after="0"/>
              <w:rPr>
                <w:sz w:val="14"/>
                <w:szCs w:val="14"/>
                <w:color w:val="auto"/>
              </w:rPr>
            </w:pPr>
          </w:p>
        </w:tc>
      </w:tr>
      <w:tr>
        <w:trPr>
          <w:trHeight w:val="216"/>
        </w:trPr>
        <w:tc>
          <w:tcPr>
            <w:tcW w:w="20" w:type="dxa"/>
            <w:vAlign w:val="bottom"/>
          </w:tcPr>
          <w:p>
            <w:pPr>
              <w:spacing w:after="0"/>
              <w:rPr>
                <w:sz w:val="18"/>
                <w:szCs w:val="18"/>
                <w:color w:val="auto"/>
              </w:rPr>
            </w:pPr>
          </w:p>
        </w:tc>
        <w:tc>
          <w:tcPr>
            <w:tcW w:w="3940" w:type="dxa"/>
            <w:vAlign w:val="bottom"/>
            <w:shd w:val="clear" w:color="auto" w:fill="CCEEFF"/>
          </w:tcPr>
          <w:p>
            <w:pPr>
              <w:spacing w:after="0"/>
              <w:rPr>
                <w:sz w:val="20"/>
                <w:szCs w:val="20"/>
                <w:color w:val="auto"/>
              </w:rPr>
            </w:pPr>
            <w:r>
              <w:rPr>
                <w:rFonts w:ascii="Arial" w:cs="Arial" w:eastAsia="Arial" w:hAnsi="Arial"/>
                <w:sz w:val="18"/>
                <w:szCs w:val="18"/>
                <w:color w:val="auto"/>
              </w:rPr>
              <w:t>Risk free interest rate</w:t>
            </w:r>
          </w:p>
        </w:tc>
        <w:tc>
          <w:tcPr>
            <w:tcW w:w="2900" w:type="dxa"/>
            <w:vAlign w:val="bottom"/>
            <w:gridSpan w:val="2"/>
            <w:shd w:val="clear" w:color="auto" w:fill="CCEEFF"/>
          </w:tcPr>
          <w:p>
            <w:pPr>
              <w:jc w:val="right"/>
              <w:ind w:right="130"/>
              <w:spacing w:after="0"/>
              <w:rPr>
                <w:sz w:val="20"/>
                <w:szCs w:val="20"/>
                <w:color w:val="auto"/>
              </w:rPr>
            </w:pPr>
            <w:r>
              <w:rPr>
                <w:rFonts w:ascii="Arial" w:cs="Arial" w:eastAsia="Arial" w:hAnsi="Arial"/>
                <w:sz w:val="18"/>
                <w:szCs w:val="18"/>
                <w:color w:val="auto"/>
              </w:rPr>
              <w:t>2.9% - 3.0%</w:t>
            </w:r>
          </w:p>
        </w:tc>
        <w:tc>
          <w:tcPr>
            <w:tcW w:w="15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1.2% - 2.1%</w:t>
            </w:r>
          </w:p>
        </w:tc>
      </w:tr>
      <w:tr>
        <w:trPr>
          <w:trHeight w:val="216"/>
        </w:trPr>
        <w:tc>
          <w:tcPr>
            <w:tcW w:w="20" w:type="dxa"/>
            <w:vAlign w:val="bottom"/>
          </w:tcPr>
          <w:p>
            <w:pPr>
              <w:spacing w:after="0"/>
              <w:rPr>
                <w:sz w:val="18"/>
                <w:szCs w:val="18"/>
                <w:color w:val="auto"/>
              </w:rPr>
            </w:pPr>
          </w:p>
        </w:tc>
        <w:tc>
          <w:tcPr>
            <w:tcW w:w="3940" w:type="dxa"/>
            <w:vAlign w:val="bottom"/>
          </w:tcPr>
          <w:p>
            <w:pPr>
              <w:spacing w:after="0"/>
              <w:rPr>
                <w:sz w:val="20"/>
                <w:szCs w:val="20"/>
                <w:color w:val="auto"/>
              </w:rPr>
            </w:pPr>
            <w:r>
              <w:rPr>
                <w:rFonts w:ascii="Arial" w:cs="Arial" w:eastAsia="Arial" w:hAnsi="Arial"/>
                <w:sz w:val="18"/>
                <w:szCs w:val="18"/>
                <w:color w:val="auto"/>
              </w:rPr>
              <w:t>Calculated dividend rate</w:t>
            </w:r>
          </w:p>
        </w:tc>
        <w:tc>
          <w:tcPr>
            <w:tcW w:w="2200" w:type="dxa"/>
            <w:vAlign w:val="bottom"/>
          </w:tcPr>
          <w:p>
            <w:pPr>
              <w:spacing w:after="0"/>
              <w:rPr>
                <w:sz w:val="18"/>
                <w:szCs w:val="18"/>
                <w:color w:val="auto"/>
              </w:rPr>
            </w:pPr>
          </w:p>
        </w:tc>
        <w:tc>
          <w:tcPr>
            <w:tcW w:w="700" w:type="dxa"/>
            <w:vAlign w:val="bottom"/>
          </w:tcPr>
          <w:p>
            <w:pPr>
              <w:jc w:val="right"/>
              <w:ind w:right="130"/>
              <w:spacing w:after="0"/>
              <w:rPr>
                <w:sz w:val="20"/>
                <w:szCs w:val="20"/>
                <w:color w:val="auto"/>
              </w:rPr>
            </w:pPr>
            <w:r>
              <w:rPr>
                <w:rFonts w:ascii="Arial" w:cs="Arial" w:eastAsia="Arial" w:hAnsi="Arial"/>
                <w:sz w:val="18"/>
                <w:szCs w:val="18"/>
                <w:color w:val="auto"/>
              </w:rPr>
              <w:t>0%</w:t>
            </w:r>
          </w:p>
        </w:tc>
        <w:tc>
          <w:tcPr>
            <w:tcW w:w="98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0%</w:t>
            </w:r>
          </w:p>
        </w:tc>
      </w:tr>
      <w:tr>
        <w:trPr>
          <w:trHeight w:val="216"/>
        </w:trPr>
        <w:tc>
          <w:tcPr>
            <w:tcW w:w="20" w:type="dxa"/>
            <w:vAlign w:val="bottom"/>
          </w:tcPr>
          <w:p>
            <w:pPr>
              <w:spacing w:after="0"/>
              <w:rPr>
                <w:sz w:val="18"/>
                <w:szCs w:val="18"/>
                <w:color w:val="auto"/>
              </w:rPr>
            </w:pPr>
          </w:p>
        </w:tc>
        <w:tc>
          <w:tcPr>
            <w:tcW w:w="3940" w:type="dxa"/>
            <w:vAlign w:val="bottom"/>
            <w:shd w:val="clear" w:color="auto" w:fill="CCEEFF"/>
          </w:tcPr>
          <w:p>
            <w:pPr>
              <w:spacing w:after="0"/>
              <w:rPr>
                <w:sz w:val="20"/>
                <w:szCs w:val="20"/>
                <w:color w:val="auto"/>
              </w:rPr>
            </w:pPr>
            <w:r>
              <w:rPr>
                <w:rFonts w:ascii="Arial" w:cs="Arial" w:eastAsia="Arial" w:hAnsi="Arial"/>
                <w:sz w:val="18"/>
                <w:szCs w:val="18"/>
                <w:color w:val="auto"/>
              </w:rPr>
              <w:t>Expected life of the option in years</w:t>
            </w:r>
          </w:p>
        </w:tc>
        <w:tc>
          <w:tcPr>
            <w:tcW w:w="2200" w:type="dxa"/>
            <w:vAlign w:val="bottom"/>
            <w:shd w:val="clear" w:color="auto" w:fill="CCEEFF"/>
          </w:tcPr>
          <w:p>
            <w:pPr>
              <w:spacing w:after="0"/>
              <w:rPr>
                <w:sz w:val="18"/>
                <w:szCs w:val="18"/>
                <w:color w:val="auto"/>
              </w:rPr>
            </w:pPr>
          </w:p>
        </w:tc>
        <w:tc>
          <w:tcPr>
            <w:tcW w:w="700" w:type="dxa"/>
            <w:vAlign w:val="bottom"/>
            <w:shd w:val="clear" w:color="auto" w:fill="CCEEFF"/>
          </w:tcPr>
          <w:p>
            <w:pPr>
              <w:jc w:val="right"/>
              <w:ind w:right="270"/>
              <w:spacing w:after="0"/>
              <w:rPr>
                <w:sz w:val="20"/>
                <w:szCs w:val="20"/>
                <w:color w:val="auto"/>
              </w:rPr>
            </w:pPr>
            <w:r>
              <w:rPr>
                <w:rFonts w:ascii="Arial" w:cs="Arial" w:eastAsia="Arial" w:hAnsi="Arial"/>
                <w:sz w:val="18"/>
                <w:szCs w:val="18"/>
                <w:color w:val="auto"/>
                <w:w w:val="91"/>
              </w:rPr>
              <w:t>6.18</w:t>
            </w:r>
          </w:p>
        </w:tc>
        <w:tc>
          <w:tcPr>
            <w:tcW w:w="980" w:type="dxa"/>
            <w:vAlign w:val="bottom"/>
            <w:shd w:val="clear" w:color="auto" w:fill="CCEEFF"/>
          </w:tcPr>
          <w:p>
            <w:pPr>
              <w:spacing w:after="0"/>
              <w:rPr>
                <w:sz w:val="18"/>
                <w:szCs w:val="18"/>
                <w:color w:val="auto"/>
              </w:rPr>
            </w:pPr>
          </w:p>
        </w:tc>
        <w:tc>
          <w:tcPr>
            <w:tcW w:w="54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91"/>
              </w:rPr>
              <w:t>6.25</w:t>
            </w:r>
          </w:p>
        </w:tc>
      </w:tr>
      <w:tr>
        <w:trPr>
          <w:trHeight w:val="216"/>
        </w:trPr>
        <w:tc>
          <w:tcPr>
            <w:tcW w:w="20" w:type="dxa"/>
            <w:vAlign w:val="bottom"/>
          </w:tcPr>
          <w:p>
            <w:pPr>
              <w:spacing w:after="0"/>
              <w:rPr>
                <w:sz w:val="18"/>
                <w:szCs w:val="18"/>
                <w:color w:val="auto"/>
              </w:rPr>
            </w:pPr>
          </w:p>
        </w:tc>
        <w:tc>
          <w:tcPr>
            <w:tcW w:w="3940" w:type="dxa"/>
            <w:vAlign w:val="bottom"/>
          </w:tcPr>
          <w:p>
            <w:pPr>
              <w:spacing w:after="0"/>
              <w:rPr>
                <w:sz w:val="20"/>
                <w:szCs w:val="20"/>
                <w:color w:val="auto"/>
              </w:rPr>
            </w:pPr>
            <w:r>
              <w:rPr>
                <w:rFonts w:ascii="Arial" w:cs="Arial" w:eastAsia="Arial" w:hAnsi="Arial"/>
                <w:sz w:val="18"/>
                <w:szCs w:val="18"/>
                <w:color w:val="auto"/>
              </w:rPr>
              <w:t>Expected volatility</w:t>
            </w:r>
          </w:p>
        </w:tc>
        <w:tc>
          <w:tcPr>
            <w:tcW w:w="2200" w:type="dxa"/>
            <w:vAlign w:val="bottom"/>
          </w:tcPr>
          <w:p>
            <w:pPr>
              <w:jc w:val="right"/>
              <w:spacing w:after="0"/>
              <w:rPr>
                <w:sz w:val="20"/>
                <w:szCs w:val="20"/>
                <w:color w:val="auto"/>
              </w:rPr>
            </w:pPr>
            <w:r>
              <w:rPr>
                <w:rFonts w:ascii="Arial" w:cs="Arial" w:eastAsia="Arial" w:hAnsi="Arial"/>
                <w:sz w:val="18"/>
                <w:szCs w:val="18"/>
                <w:color w:val="auto"/>
              </w:rPr>
              <w:t>24.4% -</w:t>
            </w:r>
          </w:p>
        </w:tc>
        <w:tc>
          <w:tcPr>
            <w:tcW w:w="700" w:type="dxa"/>
            <w:vAlign w:val="bottom"/>
          </w:tcPr>
          <w:p>
            <w:pPr>
              <w:jc w:val="right"/>
              <w:ind w:right="130"/>
              <w:spacing w:after="0"/>
              <w:rPr>
                <w:sz w:val="20"/>
                <w:szCs w:val="20"/>
                <w:color w:val="auto"/>
              </w:rPr>
            </w:pPr>
            <w:r>
              <w:rPr>
                <w:rFonts w:ascii="Arial" w:cs="Arial" w:eastAsia="Arial" w:hAnsi="Arial"/>
                <w:sz w:val="18"/>
                <w:szCs w:val="18"/>
                <w:color w:val="auto"/>
                <w:w w:val="90"/>
              </w:rPr>
              <w:t>25.6%</w:t>
            </w:r>
          </w:p>
        </w:tc>
        <w:tc>
          <w:tcPr>
            <w:tcW w:w="980" w:type="dxa"/>
            <w:vAlign w:val="bottom"/>
          </w:tcPr>
          <w:p>
            <w:pPr>
              <w:jc w:val="right"/>
              <w:spacing w:after="0"/>
              <w:rPr>
                <w:sz w:val="20"/>
                <w:szCs w:val="20"/>
                <w:color w:val="auto"/>
              </w:rPr>
            </w:pPr>
            <w:r>
              <w:rPr>
                <w:rFonts w:ascii="Arial" w:cs="Arial" w:eastAsia="Arial" w:hAnsi="Arial"/>
                <w:sz w:val="18"/>
                <w:szCs w:val="18"/>
                <w:color w:val="auto"/>
              </w:rPr>
              <w:t>26.4% -</w:t>
            </w:r>
          </w:p>
        </w:tc>
        <w:tc>
          <w:tcPr>
            <w:tcW w:w="540" w:type="dxa"/>
            <w:vAlign w:val="bottom"/>
          </w:tcPr>
          <w:p>
            <w:pPr>
              <w:jc w:val="right"/>
              <w:spacing w:after="0"/>
              <w:rPr>
                <w:sz w:val="20"/>
                <w:szCs w:val="20"/>
                <w:color w:val="auto"/>
              </w:rPr>
            </w:pPr>
            <w:r>
              <w:rPr>
                <w:rFonts w:ascii="Arial" w:cs="Arial" w:eastAsia="Arial" w:hAnsi="Arial"/>
                <w:sz w:val="18"/>
                <w:szCs w:val="18"/>
                <w:color w:val="auto"/>
                <w:w w:val="90"/>
              </w:rPr>
              <w:t>27.0%</w:t>
            </w:r>
          </w:p>
        </w:tc>
      </w:tr>
      <w:tr>
        <w:trPr>
          <w:trHeight w:val="216"/>
        </w:trPr>
        <w:tc>
          <w:tcPr>
            <w:tcW w:w="20" w:type="dxa"/>
            <w:vAlign w:val="bottom"/>
          </w:tcPr>
          <w:p>
            <w:pPr>
              <w:spacing w:after="0"/>
              <w:rPr>
                <w:sz w:val="18"/>
                <w:szCs w:val="18"/>
                <w:color w:val="auto"/>
              </w:rPr>
            </w:pPr>
          </w:p>
        </w:tc>
        <w:tc>
          <w:tcPr>
            <w:tcW w:w="3940" w:type="dxa"/>
            <w:vAlign w:val="bottom"/>
            <w:shd w:val="clear" w:color="auto" w:fill="CCEEFF"/>
          </w:tcPr>
          <w:p>
            <w:pPr>
              <w:spacing w:after="0"/>
              <w:rPr>
                <w:sz w:val="20"/>
                <w:szCs w:val="20"/>
                <w:color w:val="auto"/>
              </w:rPr>
            </w:pPr>
            <w:r>
              <w:rPr>
                <w:rFonts w:ascii="Arial" w:cs="Arial" w:eastAsia="Arial" w:hAnsi="Arial"/>
                <w:sz w:val="18"/>
                <w:szCs w:val="18"/>
                <w:color w:val="auto"/>
              </w:rPr>
              <w:t>Fair value of option</w:t>
            </w:r>
          </w:p>
        </w:tc>
        <w:tc>
          <w:tcPr>
            <w:tcW w:w="2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$ 0.80 - $</w:t>
            </w:r>
          </w:p>
        </w:tc>
        <w:tc>
          <w:tcPr>
            <w:tcW w:w="700" w:type="dxa"/>
            <w:vAlign w:val="bottom"/>
            <w:shd w:val="clear" w:color="auto" w:fill="CCEEFF"/>
          </w:tcPr>
          <w:p>
            <w:pPr>
              <w:jc w:val="right"/>
              <w:ind w:right="270"/>
              <w:spacing w:after="0"/>
              <w:rPr>
                <w:sz w:val="20"/>
                <w:szCs w:val="20"/>
                <w:color w:val="auto"/>
              </w:rPr>
            </w:pPr>
            <w:r>
              <w:rPr>
                <w:rFonts w:ascii="Arial" w:cs="Arial" w:eastAsia="Arial" w:hAnsi="Arial"/>
                <w:sz w:val="18"/>
                <w:szCs w:val="18"/>
                <w:color w:val="auto"/>
                <w:w w:val="91"/>
              </w:rPr>
              <w:t>1.25</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$ 0.64 - $</w:t>
            </w:r>
          </w:p>
        </w:tc>
        <w:tc>
          <w:tcPr>
            <w:tcW w:w="54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91"/>
              </w:rPr>
              <w:t>1.04</w:t>
            </w:r>
          </w:p>
        </w:tc>
      </w:tr>
    </w:tbl>
    <w:p>
      <w:pPr>
        <w:spacing w:after="0" w:line="94" w:lineRule="exact"/>
        <w:rPr>
          <w:sz w:val="20"/>
          <w:szCs w:val="20"/>
          <w:color w:val="auto"/>
        </w:rPr>
      </w:pPr>
    </w:p>
    <w:p>
      <w:pPr>
        <w:ind w:left="440"/>
        <w:spacing w:after="0" w:line="259" w:lineRule="auto"/>
        <w:rPr>
          <w:sz w:val="20"/>
          <w:szCs w:val="20"/>
          <w:color w:val="auto"/>
        </w:rPr>
      </w:pPr>
      <w:r>
        <w:rPr>
          <w:rFonts w:ascii="Arial" w:cs="Arial" w:eastAsia="Arial" w:hAnsi="Arial"/>
          <w:sz w:val="18"/>
          <w:szCs w:val="18"/>
          <w:color w:val="auto"/>
        </w:rPr>
        <w:t>The fair value of each option award was estimated on the grant date using the Black-Scholes option-pricing model and will be expensed under the straight-line method. Stock-based compensation expense was approximately $517,000 and $309,000 for the nine months ended December 31, 2018 and 2017, respectively, and is included in the caption selling, general and administrative in the accompanying unaudited condensed consolidated statements of operations.</w:t>
      </w:r>
    </w:p>
    <w:p>
      <w:pPr>
        <w:spacing w:after="0" w:line="79"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following table summarizes stock option activity for the nine months ended December 31, 2018:</w:t>
      </w:r>
    </w:p>
    <w:p>
      <w:pPr>
        <w:spacing w:after="0" w:line="231" w:lineRule="exact"/>
        <w:rPr>
          <w:sz w:val="20"/>
          <w:szCs w:val="20"/>
          <w:color w:val="auto"/>
        </w:rPr>
      </w:pPr>
    </w:p>
    <w:tbl>
      <w:tblPr>
        <w:tblLayout w:type="fixed"/>
        <w:tblInd w:w="44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3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60" w:type="dxa"/>
            <w:vAlign w:val="bottom"/>
          </w:tcPr>
          <w:p>
            <w:pPr>
              <w:jc w:val="center"/>
              <w:ind w:right="35"/>
              <w:spacing w:after="0"/>
              <w:rPr>
                <w:sz w:val="20"/>
                <w:szCs w:val="20"/>
                <w:color w:val="auto"/>
              </w:rPr>
            </w:pPr>
            <w:r>
              <w:rPr>
                <w:rFonts w:ascii="Arial" w:cs="Arial" w:eastAsia="Arial" w:hAnsi="Arial"/>
                <w:sz w:val="14"/>
                <w:szCs w:val="14"/>
                <w:b w:val="1"/>
                <w:bCs w:val="1"/>
                <w:color w:val="auto"/>
                <w:w w:val="95"/>
              </w:rPr>
              <w:t>Weighted</w:t>
            </w:r>
          </w:p>
        </w:tc>
        <w:tc>
          <w:tcPr>
            <w:tcW w:w="580" w:type="dxa"/>
            <w:vAlign w:val="bottom"/>
          </w:tcPr>
          <w:p>
            <w:pPr>
              <w:spacing w:after="0"/>
              <w:rPr>
                <w:sz w:val="14"/>
                <w:szCs w:val="14"/>
                <w:color w:val="auto"/>
              </w:rPr>
            </w:pPr>
          </w:p>
        </w:tc>
        <w:tc>
          <w:tcPr>
            <w:tcW w:w="1380" w:type="dxa"/>
            <w:vAlign w:val="bottom"/>
            <w:vMerge w:val="restart"/>
          </w:tcPr>
          <w:p>
            <w:pPr>
              <w:jc w:val="right"/>
              <w:ind w:right="39"/>
              <w:spacing w:after="0"/>
              <w:rPr>
                <w:sz w:val="20"/>
                <w:szCs w:val="20"/>
                <w:color w:val="auto"/>
              </w:rPr>
            </w:pPr>
            <w:r>
              <w:rPr>
                <w:rFonts w:ascii="Arial" w:cs="Arial" w:eastAsia="Arial" w:hAnsi="Arial"/>
                <w:sz w:val="14"/>
                <w:szCs w:val="14"/>
                <w:b w:val="1"/>
                <w:bCs w:val="1"/>
                <w:color w:val="auto"/>
                <w:w w:val="99"/>
              </w:rPr>
              <w:t>Weighted- average</w:t>
            </w:r>
          </w:p>
        </w:tc>
        <w:tc>
          <w:tcPr>
            <w:tcW w:w="5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60" w:type="dxa"/>
            <w:vAlign w:val="bottom"/>
            <w:gridSpan w:val="2"/>
            <w:vMerge w:val="restart"/>
          </w:tcPr>
          <w:p>
            <w:pPr>
              <w:jc w:val="center"/>
              <w:ind w:right="160"/>
              <w:spacing w:after="0"/>
              <w:rPr>
                <w:sz w:val="20"/>
                <w:szCs w:val="20"/>
                <w:color w:val="auto"/>
              </w:rPr>
            </w:pPr>
            <w:r>
              <w:rPr>
                <w:rFonts w:ascii="Arial" w:cs="Arial" w:eastAsia="Arial" w:hAnsi="Arial"/>
                <w:sz w:val="14"/>
                <w:szCs w:val="14"/>
                <w:b w:val="1"/>
                <w:bCs w:val="1"/>
                <w:color w:val="auto"/>
                <w:w w:val="89"/>
              </w:rPr>
              <w:t>Aggregate</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340" w:type="dxa"/>
            <w:vAlign w:val="bottom"/>
          </w:tcPr>
          <w:p>
            <w:pPr>
              <w:spacing w:after="0"/>
              <w:rPr>
                <w:sz w:val="12"/>
                <w:szCs w:val="12"/>
                <w:color w:val="auto"/>
              </w:rPr>
            </w:pPr>
          </w:p>
        </w:tc>
        <w:tc>
          <w:tcPr>
            <w:tcW w:w="1120" w:type="dxa"/>
            <w:vAlign w:val="bottom"/>
            <w:gridSpan w:val="2"/>
            <w:vMerge w:val="restart"/>
          </w:tcPr>
          <w:p>
            <w:pPr>
              <w:jc w:val="right"/>
              <w:ind w:right="400"/>
              <w:spacing w:after="0"/>
              <w:rPr>
                <w:sz w:val="20"/>
                <w:szCs w:val="20"/>
                <w:color w:val="auto"/>
              </w:rPr>
            </w:pPr>
            <w:r>
              <w:rPr>
                <w:rFonts w:ascii="Arial" w:cs="Arial" w:eastAsia="Arial" w:hAnsi="Arial"/>
                <w:sz w:val="14"/>
                <w:szCs w:val="14"/>
                <w:b w:val="1"/>
                <w:bCs w:val="1"/>
                <w:color w:val="auto"/>
                <w:w w:val="99"/>
              </w:rPr>
              <w:t>Number of</w:t>
            </w:r>
          </w:p>
        </w:tc>
        <w:tc>
          <w:tcPr>
            <w:tcW w:w="2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60" w:type="dxa"/>
            <w:vAlign w:val="bottom"/>
          </w:tcPr>
          <w:p>
            <w:pPr>
              <w:jc w:val="center"/>
              <w:ind w:right="15"/>
              <w:spacing w:after="0" w:line="149" w:lineRule="exact"/>
              <w:rPr>
                <w:sz w:val="20"/>
                <w:szCs w:val="20"/>
                <w:color w:val="auto"/>
              </w:rPr>
            </w:pPr>
            <w:r>
              <w:rPr>
                <w:rFonts w:ascii="Arial" w:cs="Arial" w:eastAsia="Arial" w:hAnsi="Arial"/>
                <w:sz w:val="14"/>
                <w:szCs w:val="14"/>
                <w:b w:val="1"/>
                <w:bCs w:val="1"/>
                <w:color w:val="auto"/>
                <w:w w:val="90"/>
              </w:rPr>
              <w:t>Average</w:t>
            </w:r>
          </w:p>
        </w:tc>
        <w:tc>
          <w:tcPr>
            <w:tcW w:w="580" w:type="dxa"/>
            <w:vAlign w:val="bottom"/>
          </w:tcPr>
          <w:p>
            <w:pPr>
              <w:spacing w:after="0"/>
              <w:rPr>
                <w:sz w:val="12"/>
                <w:szCs w:val="12"/>
                <w:color w:val="auto"/>
              </w:rPr>
            </w:pPr>
          </w:p>
        </w:tc>
        <w:tc>
          <w:tcPr>
            <w:tcW w:w="1380" w:type="dxa"/>
            <w:vAlign w:val="bottom"/>
            <w:vMerge w:val="continue"/>
          </w:tcPr>
          <w:p>
            <w:pPr>
              <w:spacing w:after="0"/>
              <w:rPr>
                <w:sz w:val="12"/>
                <w:szCs w:val="12"/>
                <w:color w:val="auto"/>
              </w:rPr>
            </w:pPr>
          </w:p>
        </w:tc>
        <w:tc>
          <w:tcPr>
            <w:tcW w:w="5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6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340" w:type="dxa"/>
            <w:vAlign w:val="bottom"/>
          </w:tcPr>
          <w:p>
            <w:pPr>
              <w:spacing w:after="0"/>
              <w:rPr>
                <w:sz w:val="12"/>
                <w:szCs w:val="12"/>
                <w:color w:val="auto"/>
              </w:rPr>
            </w:pPr>
          </w:p>
        </w:tc>
        <w:tc>
          <w:tcPr>
            <w:tcW w:w="1120" w:type="dxa"/>
            <w:vAlign w:val="bottom"/>
            <w:gridSpan w:val="2"/>
            <w:vMerge w:val="continue"/>
          </w:tcPr>
          <w:p>
            <w:pPr>
              <w:spacing w:after="0"/>
              <w:rPr>
                <w:sz w:val="12"/>
                <w:szCs w:val="12"/>
                <w:color w:val="auto"/>
              </w:rPr>
            </w:pPr>
          </w:p>
        </w:tc>
        <w:tc>
          <w:tcPr>
            <w:tcW w:w="1160" w:type="dxa"/>
            <w:vAlign w:val="bottom"/>
            <w:gridSpan w:val="3"/>
          </w:tcPr>
          <w:p>
            <w:pPr>
              <w:ind w:left="280"/>
              <w:spacing w:after="0" w:line="149" w:lineRule="exact"/>
              <w:rPr>
                <w:sz w:val="20"/>
                <w:szCs w:val="20"/>
                <w:color w:val="auto"/>
              </w:rPr>
            </w:pPr>
            <w:r>
              <w:rPr>
                <w:rFonts w:ascii="Arial" w:cs="Arial" w:eastAsia="Arial" w:hAnsi="Arial"/>
                <w:sz w:val="14"/>
                <w:szCs w:val="14"/>
                <w:b w:val="1"/>
                <w:bCs w:val="1"/>
                <w:color w:val="auto"/>
                <w:w w:val="89"/>
              </w:rPr>
              <w:t>Exercise Price</w:t>
            </w:r>
          </w:p>
        </w:tc>
        <w:tc>
          <w:tcPr>
            <w:tcW w:w="580" w:type="dxa"/>
            <w:vAlign w:val="bottom"/>
          </w:tcPr>
          <w:p>
            <w:pPr>
              <w:spacing w:after="0"/>
              <w:rPr>
                <w:sz w:val="12"/>
                <w:szCs w:val="12"/>
                <w:color w:val="auto"/>
              </w:rPr>
            </w:pPr>
          </w:p>
        </w:tc>
        <w:tc>
          <w:tcPr>
            <w:tcW w:w="1380" w:type="dxa"/>
            <w:vAlign w:val="bottom"/>
          </w:tcPr>
          <w:p>
            <w:pPr>
              <w:jc w:val="right"/>
              <w:ind w:right="279"/>
              <w:spacing w:after="0" w:line="149" w:lineRule="exact"/>
              <w:rPr>
                <w:sz w:val="20"/>
                <w:szCs w:val="20"/>
                <w:color w:val="auto"/>
              </w:rPr>
            </w:pPr>
            <w:r>
              <w:rPr>
                <w:rFonts w:ascii="Arial" w:cs="Arial" w:eastAsia="Arial" w:hAnsi="Arial"/>
                <w:sz w:val="14"/>
                <w:szCs w:val="14"/>
                <w:b w:val="1"/>
                <w:bCs w:val="1"/>
                <w:color w:val="auto"/>
              </w:rPr>
              <w:t>Remaining</w:t>
            </w:r>
          </w:p>
        </w:tc>
        <w:tc>
          <w:tcPr>
            <w:tcW w:w="5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60" w:type="dxa"/>
            <w:vAlign w:val="bottom"/>
            <w:gridSpan w:val="2"/>
          </w:tcPr>
          <w:p>
            <w:pPr>
              <w:jc w:val="center"/>
              <w:ind w:right="160"/>
              <w:spacing w:after="0" w:line="149" w:lineRule="exact"/>
              <w:rPr>
                <w:sz w:val="20"/>
                <w:szCs w:val="20"/>
                <w:color w:val="auto"/>
              </w:rPr>
            </w:pPr>
            <w:r>
              <w:rPr>
                <w:rFonts w:ascii="Arial" w:cs="Arial" w:eastAsia="Arial" w:hAnsi="Arial"/>
                <w:sz w:val="14"/>
                <w:szCs w:val="14"/>
                <w:b w:val="1"/>
                <w:bCs w:val="1"/>
                <w:color w:val="auto"/>
                <w:w w:val="99"/>
              </w:rPr>
              <w:t>Intrinsic</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4340" w:type="dxa"/>
            <w:vAlign w:val="bottom"/>
          </w:tcPr>
          <w:p>
            <w:pPr>
              <w:spacing w:after="0"/>
              <w:rPr>
                <w:sz w:val="14"/>
                <w:szCs w:val="14"/>
                <w:color w:val="auto"/>
              </w:rPr>
            </w:pPr>
          </w:p>
        </w:tc>
        <w:tc>
          <w:tcPr>
            <w:tcW w:w="1120" w:type="dxa"/>
            <w:vAlign w:val="bottom"/>
            <w:gridSpan w:val="2"/>
          </w:tcPr>
          <w:p>
            <w:pPr>
              <w:jc w:val="right"/>
              <w:ind w:right="540"/>
              <w:spacing w:after="0"/>
              <w:rPr>
                <w:sz w:val="20"/>
                <w:szCs w:val="20"/>
                <w:color w:val="auto"/>
              </w:rPr>
            </w:pPr>
            <w:r>
              <w:rPr>
                <w:rFonts w:ascii="Arial" w:cs="Arial" w:eastAsia="Arial" w:hAnsi="Arial"/>
                <w:sz w:val="14"/>
                <w:szCs w:val="14"/>
                <w:b w:val="1"/>
                <w:bCs w:val="1"/>
                <w:color w:val="auto"/>
              </w:rPr>
              <w:t>Shares</w:t>
            </w:r>
          </w:p>
        </w:tc>
        <w:tc>
          <w:tcPr>
            <w:tcW w:w="2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60" w:type="dxa"/>
            <w:vAlign w:val="bottom"/>
          </w:tcPr>
          <w:p>
            <w:pPr>
              <w:jc w:val="center"/>
              <w:ind w:right="35"/>
              <w:spacing w:after="0"/>
              <w:rPr>
                <w:sz w:val="20"/>
                <w:szCs w:val="20"/>
                <w:color w:val="auto"/>
              </w:rPr>
            </w:pPr>
            <w:r>
              <w:rPr>
                <w:rFonts w:ascii="Arial" w:cs="Arial" w:eastAsia="Arial" w:hAnsi="Arial"/>
                <w:sz w:val="14"/>
                <w:szCs w:val="14"/>
                <w:b w:val="1"/>
                <w:bCs w:val="1"/>
                <w:color w:val="auto"/>
                <w:w w:val="91"/>
              </w:rPr>
              <w:t>Per Share</w:t>
            </w:r>
          </w:p>
        </w:tc>
        <w:tc>
          <w:tcPr>
            <w:tcW w:w="1960" w:type="dxa"/>
            <w:vAlign w:val="bottom"/>
            <w:gridSpan w:val="2"/>
          </w:tcPr>
          <w:p>
            <w:pPr>
              <w:jc w:val="right"/>
              <w:spacing w:after="0"/>
              <w:rPr>
                <w:sz w:val="20"/>
                <w:szCs w:val="20"/>
                <w:color w:val="auto"/>
              </w:rPr>
            </w:pPr>
            <w:r>
              <w:rPr>
                <w:rFonts w:ascii="Arial" w:cs="Arial" w:eastAsia="Arial" w:hAnsi="Arial"/>
                <w:sz w:val="14"/>
                <w:szCs w:val="14"/>
                <w:b w:val="1"/>
                <w:bCs w:val="1"/>
                <w:color w:val="auto"/>
              </w:rPr>
              <w:t>Contract Term (years)</w:t>
            </w:r>
          </w:p>
        </w:tc>
        <w:tc>
          <w:tcPr>
            <w:tcW w:w="5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6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90"/>
              </w:rPr>
              <w:t>Value</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3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Outstanding March 31, 2018</w:t>
            </w:r>
          </w:p>
        </w:tc>
        <w:tc>
          <w:tcPr>
            <w:tcW w:w="7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2"/>
              </w:rPr>
              <w:t>3,766,888</w:t>
            </w:r>
          </w:p>
        </w:tc>
        <w:tc>
          <w:tcPr>
            <w:tcW w:w="34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99"/>
              </w:rPr>
              <w:t>$</w:t>
            </w:r>
          </w:p>
        </w:tc>
        <w:tc>
          <w:tcPr>
            <w:tcW w:w="7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1.27</w:t>
            </w:r>
          </w:p>
        </w:tc>
        <w:tc>
          <w:tcPr>
            <w:tcW w:w="580" w:type="dxa"/>
            <w:vAlign w:val="bottom"/>
            <w:tcBorders>
              <w:top w:val="single" w:sz="8" w:color="CCEEFF"/>
            </w:tcBorders>
            <w:shd w:val="clear" w:color="auto" w:fill="CCEEFF"/>
          </w:tcPr>
          <w:p>
            <w:pPr>
              <w:spacing w:after="0"/>
              <w:rPr>
                <w:sz w:val="18"/>
                <w:szCs w:val="18"/>
                <w:color w:val="auto"/>
              </w:rPr>
            </w:pPr>
          </w:p>
        </w:tc>
        <w:tc>
          <w:tcPr>
            <w:tcW w:w="1380" w:type="dxa"/>
            <w:vAlign w:val="bottom"/>
            <w:tcBorders>
              <w:top w:val="single" w:sz="8" w:color="auto"/>
            </w:tcBorders>
            <w:shd w:val="clear" w:color="auto" w:fill="CCEEFF"/>
          </w:tcPr>
          <w:p>
            <w:pPr>
              <w:spacing w:after="0"/>
              <w:rPr>
                <w:sz w:val="18"/>
                <w:szCs w:val="18"/>
                <w:color w:val="auto"/>
              </w:rPr>
            </w:pPr>
          </w:p>
        </w:tc>
        <w:tc>
          <w:tcPr>
            <w:tcW w:w="5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spacing w:after="0"/>
              <w:rPr>
                <w:sz w:val="18"/>
                <w:szCs w:val="18"/>
                <w:color w:val="auto"/>
              </w:rPr>
            </w:pPr>
          </w:p>
        </w:tc>
        <w:tc>
          <w:tcPr>
            <w:tcW w:w="4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40" w:type="dxa"/>
            <w:vAlign w:val="bottom"/>
          </w:tcPr>
          <w:p>
            <w:pPr>
              <w:spacing w:after="0"/>
              <w:rPr>
                <w:sz w:val="20"/>
                <w:szCs w:val="20"/>
                <w:color w:val="auto"/>
              </w:rPr>
            </w:pPr>
            <w:r>
              <w:rPr>
                <w:rFonts w:ascii="Arial" w:cs="Arial" w:eastAsia="Arial" w:hAnsi="Arial"/>
                <w:sz w:val="18"/>
                <w:szCs w:val="18"/>
                <w:color w:val="auto"/>
              </w:rPr>
              <w:t>Granted</w:t>
            </w:r>
          </w:p>
        </w:tc>
        <w:tc>
          <w:tcPr>
            <w:tcW w:w="780" w:type="dxa"/>
            <w:vAlign w:val="bottom"/>
          </w:tcPr>
          <w:p>
            <w:pPr>
              <w:jc w:val="right"/>
              <w:spacing w:after="0"/>
              <w:rPr>
                <w:sz w:val="20"/>
                <w:szCs w:val="20"/>
                <w:color w:val="auto"/>
              </w:rPr>
            </w:pPr>
            <w:r>
              <w:rPr>
                <w:rFonts w:ascii="Arial" w:cs="Arial" w:eastAsia="Arial" w:hAnsi="Arial"/>
                <w:sz w:val="18"/>
                <w:szCs w:val="18"/>
                <w:color w:val="auto"/>
                <w:w w:val="92"/>
              </w:rPr>
              <w:t>1,310,625</w:t>
            </w:r>
          </w:p>
        </w:tc>
        <w:tc>
          <w:tcPr>
            <w:tcW w:w="3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2.84</w:t>
            </w:r>
          </w:p>
        </w:tc>
        <w:tc>
          <w:tcPr>
            <w:tcW w:w="58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40" w:type="dxa"/>
            <w:vAlign w:val="bottom"/>
            <w:shd w:val="clear" w:color="auto" w:fill="CCEEFF"/>
          </w:tcPr>
          <w:p>
            <w:pPr>
              <w:spacing w:after="0"/>
              <w:rPr>
                <w:sz w:val="20"/>
                <w:szCs w:val="20"/>
                <w:color w:val="auto"/>
              </w:rPr>
            </w:pPr>
            <w:r>
              <w:rPr>
                <w:rFonts w:ascii="Arial" w:cs="Arial" w:eastAsia="Arial" w:hAnsi="Arial"/>
                <w:sz w:val="18"/>
                <w:szCs w:val="18"/>
                <w:color w:val="auto"/>
              </w:rPr>
              <w:t>Exercised</w:t>
            </w:r>
          </w:p>
        </w:tc>
        <w:tc>
          <w:tcPr>
            <w:tcW w:w="11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(185,124)</w:t>
            </w:r>
          </w:p>
        </w:tc>
        <w:tc>
          <w:tcPr>
            <w:tcW w:w="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0.70</w:t>
            </w:r>
          </w:p>
        </w:tc>
        <w:tc>
          <w:tcPr>
            <w:tcW w:w="580" w:type="dxa"/>
            <w:vAlign w:val="bottom"/>
            <w:shd w:val="clear" w:color="auto" w:fill="CCEEFF"/>
          </w:tcPr>
          <w:p>
            <w:pPr>
              <w:spacing w:after="0"/>
              <w:rPr>
                <w:sz w:val="18"/>
                <w:szCs w:val="18"/>
                <w:color w:val="auto"/>
              </w:rPr>
            </w:pPr>
          </w:p>
        </w:tc>
        <w:tc>
          <w:tcPr>
            <w:tcW w:w="13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340" w:type="dxa"/>
            <w:vAlign w:val="bottom"/>
          </w:tcPr>
          <w:p>
            <w:pPr>
              <w:spacing w:after="0"/>
              <w:rPr>
                <w:sz w:val="20"/>
                <w:szCs w:val="20"/>
                <w:color w:val="auto"/>
              </w:rPr>
            </w:pPr>
            <w:r>
              <w:rPr>
                <w:rFonts w:ascii="Arial" w:cs="Arial" w:eastAsia="Arial" w:hAnsi="Arial"/>
                <w:sz w:val="18"/>
                <w:szCs w:val="18"/>
                <w:color w:val="auto"/>
              </w:rPr>
              <w:t>Forfeited</w:t>
            </w:r>
          </w:p>
        </w:tc>
        <w:tc>
          <w:tcPr>
            <w:tcW w:w="1120" w:type="dxa"/>
            <w:vAlign w:val="bottom"/>
            <w:gridSpan w:val="2"/>
          </w:tcPr>
          <w:p>
            <w:pPr>
              <w:jc w:val="right"/>
              <w:ind w:right="300"/>
              <w:spacing w:after="0"/>
              <w:rPr>
                <w:sz w:val="20"/>
                <w:szCs w:val="20"/>
                <w:color w:val="auto"/>
              </w:rPr>
            </w:pPr>
            <w:r>
              <w:rPr>
                <w:rFonts w:ascii="Arial" w:cs="Arial" w:eastAsia="Arial" w:hAnsi="Arial"/>
                <w:sz w:val="18"/>
                <w:szCs w:val="18"/>
                <w:color w:val="auto"/>
              </w:rPr>
              <w:t>(88,937)</w:t>
            </w:r>
          </w:p>
        </w:tc>
        <w:tc>
          <w:tcPr>
            <w:tcW w:w="2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1.92</w:t>
            </w:r>
          </w:p>
        </w:tc>
        <w:tc>
          <w:tcPr>
            <w:tcW w:w="58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Outstanding December 31, 2018</w:t>
            </w:r>
          </w:p>
        </w:tc>
        <w:tc>
          <w:tcPr>
            <w:tcW w:w="7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2"/>
              </w:rPr>
              <w:t>4,803,452</w:t>
            </w:r>
          </w:p>
        </w:tc>
        <w:tc>
          <w:tcPr>
            <w:tcW w:w="340" w:type="dxa"/>
            <w:vAlign w:val="bottom"/>
            <w:shd w:val="clear" w:color="auto" w:fill="CCEEFF"/>
          </w:tcPr>
          <w:p>
            <w:pPr>
              <w:spacing w:after="0"/>
              <w:rPr>
                <w:sz w:val="18"/>
                <w:szCs w:val="18"/>
                <w:color w:val="auto"/>
              </w:rPr>
            </w:pPr>
          </w:p>
        </w:tc>
        <w:tc>
          <w:tcPr>
            <w:tcW w:w="40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w w:val="99"/>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1.70</w:t>
            </w:r>
          </w:p>
        </w:tc>
        <w:tc>
          <w:tcPr>
            <w:tcW w:w="19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6.75</w:t>
            </w:r>
          </w:p>
        </w:tc>
        <w:tc>
          <w:tcPr>
            <w:tcW w:w="68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14,993,400</w:t>
            </w: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36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Exercisable December 31, 2018</w:t>
            </w:r>
          </w:p>
        </w:tc>
        <w:tc>
          <w:tcPr>
            <w:tcW w:w="78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360" w:type="dxa"/>
            <w:vAlign w:val="bottom"/>
            <w:gridSpan w:val="2"/>
            <w:vMerge w:val="continue"/>
          </w:tcPr>
          <w:p>
            <w:pPr>
              <w:spacing w:after="0"/>
              <w:rPr>
                <w:sz w:val="18"/>
                <w:szCs w:val="18"/>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2"/>
              </w:rPr>
              <w:t>2,588,925</w:t>
            </w:r>
          </w:p>
        </w:tc>
        <w:tc>
          <w:tcPr>
            <w:tcW w:w="3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 w:type="dxa"/>
            <w:vAlign w:val="bottom"/>
            <w:tcBorders>
              <w:bottom w:val="single" w:sz="8" w:color="auto"/>
            </w:tcBorders>
          </w:tcPr>
          <w:p>
            <w:pPr>
              <w:spacing w:after="0"/>
              <w:rPr>
                <w:sz w:val="20"/>
                <w:szCs w:val="20"/>
                <w:color w:val="auto"/>
              </w:rPr>
            </w:pPr>
            <w:r>
              <w:rPr>
                <w:rFonts w:ascii="Arial" w:cs="Arial" w:eastAsia="Arial" w:hAnsi="Arial"/>
                <w:sz w:val="18"/>
                <w:szCs w:val="18"/>
                <w:color w:val="auto"/>
                <w:w w:val="99"/>
              </w:rPr>
              <w:t>$</w:t>
            </w: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1.07</w:t>
            </w:r>
          </w:p>
        </w:tc>
        <w:tc>
          <w:tcPr>
            <w:tcW w:w="580" w:type="dxa"/>
            <w:vAlign w:val="bottom"/>
          </w:tcPr>
          <w:p>
            <w:pPr>
              <w:spacing w:after="0"/>
              <w:rPr>
                <w:sz w:val="18"/>
                <w:szCs w:val="18"/>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5.10</w:t>
            </w:r>
          </w:p>
        </w:tc>
        <w:tc>
          <w:tcPr>
            <w:tcW w:w="580" w:type="dxa"/>
            <w:vAlign w:val="bottom"/>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7"/>
              </w:rPr>
              <w:t>9,797,770</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34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43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Vested and Expected to vest December 31, 2018</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4,742,781</w:t>
            </w:r>
          </w:p>
        </w:tc>
        <w:tc>
          <w:tcPr>
            <w:tcW w:w="3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1.69</w:t>
            </w:r>
          </w:p>
        </w:tc>
        <w:tc>
          <w:tcPr>
            <w:tcW w:w="580" w:type="dxa"/>
            <w:vAlign w:val="bottom"/>
            <w:shd w:val="clear" w:color="auto" w:fill="CCEEFF"/>
          </w:tcPr>
          <w:p>
            <w:pPr>
              <w:spacing w:after="0"/>
              <w:rPr>
                <w:sz w:val="18"/>
                <w:szCs w:val="18"/>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6.72</w:t>
            </w:r>
          </w:p>
        </w:tc>
        <w:tc>
          <w:tcPr>
            <w:tcW w:w="68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14,858,750</w:t>
            </w: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340" w:type="dxa"/>
            <w:vAlign w:val="bottom"/>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20" w:type="dxa"/>
            <w:vAlign w:val="bottom"/>
          </w:tcPr>
          <w:p>
            <w:pPr>
              <w:spacing w:after="0"/>
              <w:rPr>
                <w:sz w:val="24"/>
                <w:szCs w:val="24"/>
                <w:color w:val="auto"/>
              </w:rPr>
            </w:pPr>
          </w:p>
        </w:tc>
        <w:tc>
          <w:tcPr>
            <w:tcW w:w="4340" w:type="dxa"/>
            <w:vAlign w:val="bottom"/>
          </w:tcPr>
          <w:p>
            <w:pPr>
              <w:spacing w:after="0"/>
              <w:rPr>
                <w:sz w:val="24"/>
                <w:szCs w:val="24"/>
                <w:color w:val="auto"/>
              </w:rPr>
            </w:pPr>
          </w:p>
        </w:tc>
        <w:tc>
          <w:tcPr>
            <w:tcW w:w="1120" w:type="dxa"/>
            <w:vAlign w:val="bottom"/>
            <w:gridSpan w:val="2"/>
          </w:tcPr>
          <w:p>
            <w:pPr>
              <w:jc w:val="right"/>
              <w:ind w:right="320"/>
              <w:spacing w:after="0"/>
              <w:rPr>
                <w:sz w:val="20"/>
                <w:szCs w:val="20"/>
                <w:color w:val="auto"/>
              </w:rPr>
            </w:pPr>
            <w:r>
              <w:rPr>
                <w:rFonts w:ascii="Arial" w:cs="Arial" w:eastAsia="Arial" w:hAnsi="Arial"/>
                <w:sz w:val="18"/>
                <w:szCs w:val="18"/>
                <w:color w:val="auto"/>
              </w:rPr>
              <w:t>10</w:t>
            </w:r>
          </w:p>
        </w:tc>
        <w:tc>
          <w:tcPr>
            <w:tcW w:w="2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0960"/>
          </w:cols>
          <w:pgMar w:left="440" w:top="270" w:right="499" w:bottom="1440" w:gutter="0" w:footer="0" w:header="0"/>
        </w:sectPr>
      </w:pPr>
    </w:p>
    <w:bookmarkStart w:id="34" w:name="page35"/>
    <w:bookmarkEnd w:id="34"/>
    <w:p>
      <w:pPr>
        <w:jc w:val="right"/>
        <w:spacing w:after="0"/>
        <w:rPr>
          <w:sz w:val="20"/>
          <w:szCs w:val="20"/>
          <w:color w:val="auto"/>
        </w:rPr>
      </w:pPr>
      <w:r>
        <w:rPr>
          <w:rFonts w:ascii="Arial" w:cs="Arial" w:eastAsia="Arial" w:hAnsi="Arial"/>
          <w:sz w:val="18"/>
          <w:szCs w:val="18"/>
          <w:b w:val="1"/>
          <w:bCs w:val="1"/>
          <w:color w:val="auto"/>
        </w:rPr>
        <w:t>Exhibit 99.3</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 PRO FORMA COMBINED FINANCIAL INFORMATION OF FORRESTER RESEARCH, INC.</w:t>
      </w:r>
    </w:p>
    <w:p>
      <w:pPr>
        <w:spacing w:after="0" w:line="229" w:lineRule="exact"/>
        <w:rPr>
          <w:sz w:val="20"/>
          <w:szCs w:val="20"/>
          <w:color w:val="auto"/>
        </w:rPr>
      </w:pPr>
    </w:p>
    <w:p>
      <w:pPr>
        <w:ind w:right="220"/>
        <w:spacing w:after="0" w:line="257" w:lineRule="auto"/>
        <w:rPr>
          <w:sz w:val="20"/>
          <w:szCs w:val="20"/>
          <w:color w:val="auto"/>
        </w:rPr>
      </w:pPr>
      <w:r>
        <w:rPr>
          <w:rFonts w:ascii="Arial" w:cs="Arial" w:eastAsia="Arial" w:hAnsi="Arial"/>
          <w:sz w:val="18"/>
          <w:szCs w:val="18"/>
          <w:color w:val="auto"/>
        </w:rPr>
        <w:t>On January 3, 2019, Forrester Research, Inc., a Delaware corporation (the “Company” or “Forrester”), and Supernova Acquisition Corp., a Delaware corporation and wholly-owned subsidiary of Forrester, completed the previously announced acquisition (the “Acquisition”) of SiriusDecisions, Inc., a Delaware corporation and its subsidiaries (“Sirius”), pursuant to an Agreement and Plan of Merger, dated as of November 26, 2018 (the “Merger Agreement”), by and among Forrester, Supernova, Sirius, Founder Stockholders of Sirius and Fortis Advisors LLC, solely in its capacity as the Stockholder Representative.</w:t>
      </w:r>
    </w:p>
    <w:p>
      <w:pPr>
        <w:spacing w:after="0" w:line="188" w:lineRule="exact"/>
        <w:rPr>
          <w:sz w:val="20"/>
          <w:szCs w:val="20"/>
          <w:color w:val="auto"/>
        </w:rPr>
      </w:pPr>
    </w:p>
    <w:p>
      <w:pPr>
        <w:spacing w:after="0" w:line="272" w:lineRule="auto"/>
        <w:rPr>
          <w:sz w:val="20"/>
          <w:szCs w:val="20"/>
          <w:color w:val="auto"/>
        </w:rPr>
      </w:pPr>
      <w:r>
        <w:rPr>
          <w:rFonts w:ascii="Arial" w:cs="Arial" w:eastAsia="Arial" w:hAnsi="Arial"/>
          <w:sz w:val="17"/>
          <w:szCs w:val="17"/>
          <w:color w:val="auto"/>
        </w:rPr>
        <w:t>The Company acquired Sirius for approximately $247.3 million in cash, subject to certain adjustments set forth in the Merger Agreement. In connection with the Acquisition, on January 3, 2019 (the “Closing Date”), Forrester entered into a credit agreement (the “Credit Agreement”) with JPMorgan Chase Bank, N.A., as administrative agent, and the lenders referred to therein (collectively, the “Lenders”). Pursuant to the Credit Agreement, the Lenders have provided Forrester with $125 million in senior secured term loans (the “Term Loan”) and a $75 million senior secured revolving credit facility (the “Revolving Credit Facility” and, together with the Term Loan, the “Credit Facilities”). On the Closing Date, all of the proceeds of the Term Loan and $50 million of proceeds of the loans borrowed under the Revolving Credit Facility were used to pay a portion of the cash consideration for the Acquisition and to pay certain fees, costs and expenses incurred in connection with the Acquisition.</w:t>
      </w:r>
    </w:p>
    <w:p>
      <w:pPr>
        <w:spacing w:after="0" w:line="178" w:lineRule="exact"/>
        <w:rPr>
          <w:sz w:val="20"/>
          <w:szCs w:val="20"/>
          <w:color w:val="auto"/>
        </w:rPr>
      </w:pPr>
    </w:p>
    <w:p>
      <w:pPr>
        <w:ind w:right="260"/>
        <w:spacing w:after="0" w:line="264" w:lineRule="auto"/>
        <w:rPr>
          <w:sz w:val="20"/>
          <w:szCs w:val="20"/>
          <w:color w:val="auto"/>
        </w:rPr>
      </w:pPr>
      <w:r>
        <w:rPr>
          <w:rFonts w:ascii="Arial" w:cs="Arial" w:eastAsia="Arial" w:hAnsi="Arial"/>
          <w:sz w:val="18"/>
          <w:szCs w:val="18"/>
          <w:color w:val="auto"/>
        </w:rPr>
        <w:t>The Unaudited Pro Forma Combined Financial Information is presented to illustrate the estimated effects of the transaction and the other activities contemplated by the Merger Agreement based on the historical financial position and results of operations of Forrester and Sirius. The Unaudited Pro Forma Combined Financial Information is presented as follows:</w:t>
      </w:r>
    </w:p>
    <w:p>
      <w:pPr>
        <w:spacing w:after="0" w:line="87" w:lineRule="exact"/>
        <w:rPr>
          <w:sz w:val="20"/>
          <w:szCs w:val="20"/>
          <w:color w:val="auto"/>
        </w:rPr>
      </w:pPr>
    </w:p>
    <w:p>
      <w:pPr>
        <w:ind w:left="660" w:right="80" w:hanging="332"/>
        <w:spacing w:after="0" w:line="264" w:lineRule="auto"/>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unaudited pro forma combined balance sheet as of December 31, 2018, prepared based on (i) the historical audited consolidated balance sheet of Forrester as of December 31, 2018 and (ii) the historical unaudited condensed consolidated balance sheet of Sirius as of December 31, 2018.</w:t>
      </w:r>
    </w:p>
    <w:p>
      <w:pPr>
        <w:spacing w:after="0" w:line="86" w:lineRule="exact"/>
        <w:rPr>
          <w:rFonts w:ascii="Arial" w:cs="Arial" w:eastAsia="Arial" w:hAnsi="Arial"/>
          <w:sz w:val="18"/>
          <w:szCs w:val="18"/>
          <w:color w:val="auto"/>
        </w:rPr>
      </w:pPr>
    </w:p>
    <w:p>
      <w:pPr>
        <w:ind w:left="660" w:right="60" w:hanging="332"/>
        <w:spacing w:after="0" w:line="272" w:lineRule="auto"/>
        <w:tabs>
          <w:tab w:leader="none" w:pos="660" w:val="left"/>
        </w:tabs>
        <w:numPr>
          <w:ilvl w:val="0"/>
          <w:numId w:val="15"/>
        </w:numPr>
        <w:rPr>
          <w:rFonts w:ascii="Arial" w:cs="Arial" w:eastAsia="Arial" w:hAnsi="Arial"/>
          <w:sz w:val="17"/>
          <w:szCs w:val="17"/>
          <w:color w:val="auto"/>
        </w:rPr>
      </w:pPr>
      <w:r>
        <w:rPr>
          <w:rFonts w:ascii="Arial" w:cs="Arial" w:eastAsia="Arial" w:hAnsi="Arial"/>
          <w:sz w:val="17"/>
          <w:szCs w:val="17"/>
          <w:color w:val="auto"/>
        </w:rPr>
        <w:t>the unaudited pro forma combined statement of operations for the year ended December 31, 2018 prepared based on (i) the historical audited consolidated statement of income of Forrester for the year ended December 31, 2018 and (ii) the historical unaudited consolidated statement of operations of Sirius for the twelve months ended December 31, 2018. Forrester’s fiscal year ends on December 31 and Sirius’ fiscal year ends on March 31. The historical unaudited consolidated statement of operations of Sirius for the twelve months ended December 31, 2018 was derived by adding Sirius’ audited consolidated statement of operations for the year ended March 31, 2018 to Sirius’ unaudited condensed consolidated statement of operations for the nine months ended December 31, 2018, and subtracting Sirius’ unaudited condensed consolidated statement of operations for the nine months ended December 31, 2017.</w:t>
      </w:r>
    </w:p>
    <w:p>
      <w:pPr>
        <w:spacing w:after="0" w:line="178" w:lineRule="exact"/>
        <w:rPr>
          <w:sz w:val="20"/>
          <w:szCs w:val="20"/>
          <w:color w:val="auto"/>
        </w:rPr>
      </w:pPr>
    </w:p>
    <w:p>
      <w:pPr>
        <w:ind w:right="160"/>
        <w:spacing w:after="0" w:line="264" w:lineRule="auto"/>
        <w:rPr>
          <w:sz w:val="20"/>
          <w:szCs w:val="20"/>
          <w:color w:val="auto"/>
        </w:rPr>
      </w:pPr>
      <w:r>
        <w:rPr>
          <w:rFonts w:ascii="Arial" w:cs="Arial" w:eastAsia="Arial" w:hAnsi="Arial"/>
          <w:sz w:val="18"/>
          <w:szCs w:val="18"/>
          <w:color w:val="auto"/>
        </w:rPr>
        <w:t xml:space="preserve">The transaction will be accounted for using the acquisition method of accounting in accordance with Accounting Standards Codification (“ASC”) 805, </w:t>
      </w:r>
      <w:r>
        <w:rPr>
          <w:rFonts w:ascii="Arial" w:cs="Arial" w:eastAsia="Arial" w:hAnsi="Arial"/>
          <w:sz w:val="18"/>
          <w:szCs w:val="18"/>
          <w:i w:val="1"/>
          <w:iCs w:val="1"/>
          <w:color w:val="auto"/>
        </w:rPr>
        <w:t xml:space="preserve">Business Combinations </w:t>
      </w:r>
      <w:r>
        <w:rPr>
          <w:rFonts w:ascii="Arial" w:cs="Arial" w:eastAsia="Arial" w:hAnsi="Arial"/>
          <w:sz w:val="18"/>
          <w:szCs w:val="18"/>
          <w:color w:val="auto"/>
        </w:rPr>
        <w:t>(“ASC 805”), with Forrester designated as the accounting acquirer of Sirius. The Unaudited Pro Forma Combined Financial</w:t>
      </w:r>
      <w:r>
        <w:rPr>
          <w:rFonts w:ascii="Arial" w:cs="Arial" w:eastAsia="Arial" w:hAnsi="Arial"/>
          <w:sz w:val="18"/>
          <w:szCs w:val="18"/>
          <w:i w:val="1"/>
          <w:iCs w:val="1"/>
          <w:color w:val="auto"/>
        </w:rPr>
        <w:t xml:space="preserve"> </w:t>
      </w:r>
      <w:r>
        <w:rPr>
          <w:rFonts w:ascii="Arial" w:cs="Arial" w:eastAsia="Arial" w:hAnsi="Arial"/>
          <w:sz w:val="18"/>
          <w:szCs w:val="18"/>
          <w:color w:val="auto"/>
        </w:rPr>
        <w:t>Information set forth below primarily gives effect to the following:</w:t>
      </w:r>
    </w:p>
    <w:p>
      <w:pPr>
        <w:spacing w:after="0" w:line="87" w:lineRule="exact"/>
        <w:rPr>
          <w:sz w:val="20"/>
          <w:szCs w:val="20"/>
          <w:color w:val="auto"/>
        </w:rPr>
      </w:pPr>
    </w:p>
    <w:p>
      <w:pPr>
        <w:ind w:left="660" w:hanging="332"/>
        <w:spacing w:after="0"/>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alignment of accounting policies and financial statement classifications of Sirius to those of Forrester;</w:t>
      </w:r>
    </w:p>
    <w:p>
      <w:pPr>
        <w:spacing w:after="0" w:line="130" w:lineRule="exact"/>
        <w:rPr>
          <w:rFonts w:ascii="Arial" w:cs="Arial" w:eastAsia="Arial" w:hAnsi="Arial"/>
          <w:sz w:val="18"/>
          <w:szCs w:val="18"/>
          <w:color w:val="auto"/>
        </w:rPr>
      </w:pPr>
    </w:p>
    <w:p>
      <w:pPr>
        <w:ind w:left="660" w:hanging="332"/>
        <w:spacing w:after="0"/>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application of the acquisition method of accounting in connection with the transaction;</w:t>
      </w:r>
    </w:p>
    <w:p>
      <w:pPr>
        <w:spacing w:after="0" w:line="130" w:lineRule="exact"/>
        <w:rPr>
          <w:rFonts w:ascii="Arial" w:cs="Arial" w:eastAsia="Arial" w:hAnsi="Arial"/>
          <w:sz w:val="18"/>
          <w:szCs w:val="18"/>
          <w:color w:val="auto"/>
        </w:rPr>
      </w:pPr>
    </w:p>
    <w:p>
      <w:pPr>
        <w:ind w:left="660" w:right="680" w:hanging="332"/>
        <w:spacing w:after="0" w:line="277" w:lineRule="auto"/>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drawdown of borrowings under the Credit Facilities in connection with the transaction, the proceeds of which were used to finance approximately $175 million of the cash consideration comprising the purchase price; and</w:t>
      </w:r>
    </w:p>
    <w:p>
      <w:pPr>
        <w:spacing w:after="0" w:line="75" w:lineRule="exact"/>
        <w:rPr>
          <w:rFonts w:ascii="Arial" w:cs="Arial" w:eastAsia="Arial" w:hAnsi="Arial"/>
          <w:sz w:val="18"/>
          <w:szCs w:val="18"/>
          <w:color w:val="auto"/>
        </w:rPr>
      </w:pPr>
    </w:p>
    <w:p>
      <w:pPr>
        <w:ind w:left="660" w:hanging="332"/>
        <w:spacing w:after="0"/>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incurrence of transaction costs in connection with the transaction.</w:t>
      </w:r>
    </w:p>
    <w:p>
      <w:pPr>
        <w:spacing w:after="0" w:line="225" w:lineRule="exact"/>
        <w:rPr>
          <w:sz w:val="20"/>
          <w:szCs w:val="20"/>
          <w:color w:val="auto"/>
        </w:rPr>
      </w:pPr>
    </w:p>
    <w:p>
      <w:pPr>
        <w:ind w:right="40"/>
        <w:spacing w:after="0" w:line="297" w:lineRule="auto"/>
        <w:rPr>
          <w:sz w:val="20"/>
          <w:szCs w:val="20"/>
          <w:color w:val="auto"/>
        </w:rPr>
      </w:pPr>
      <w:r>
        <w:rPr>
          <w:rFonts w:ascii="Arial" w:cs="Arial" w:eastAsia="Arial" w:hAnsi="Arial"/>
          <w:sz w:val="16"/>
          <w:szCs w:val="16"/>
          <w:color w:val="auto"/>
        </w:rPr>
        <w:t>The Unaudited Pro Forma Combined Financial Information has been presented for informational purposes only and is not necessarily indicative of what the combined company’s financial position or results of operations actually would have been had the transaction been completed as of the dates indicated. In addition, the Unaudited Pro Forma Combined Financial Information does not purport to project the future financial position or operating results of the combined company. The accompanying unaudited pro forma combined statement of operations does not include any pro forma adjustments to reflect expected cost savings which may be achievable or the impact of any non-recurring activity and one-time transaction related costs.</w:t>
      </w:r>
    </w:p>
    <w:p>
      <w:pPr>
        <w:spacing w:after="0" w:line="9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020"/>
          </w:cols>
          <w:pgMar w:left="440" w:top="121" w:right="439" w:bottom="1440" w:gutter="0" w:footer="0" w:header="0"/>
        </w:sectPr>
      </w:pPr>
    </w:p>
    <w:bookmarkStart w:id="35" w:name="page36"/>
    <w:bookmarkEnd w:id="35"/>
    <w:p>
      <w:pPr>
        <w:spacing w:after="0" w:line="289"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The Unaudited Pro Forma Combined Financial Information has been prepared using the acquisition method of accounting under existing United States generally accepted accounting principles (“GAAP”), which is subject to change. The acquisition accounting is dependent upon certain valuations and other studies. Forrester has completed a preliminary valuation and other relevant studies. Forrester will finalize the purchase price allocation as soon as practicable within the measurement period, but in no event later than one year following the closing date of the transaction. The assets and liabilities of Sirius have been measured based on various initial estimates using assumptions that Forrester believes are reasonable, based on information that is currently available. Accordingly, the pro forma adjustments are preliminary and have been made solely for the purpose of providing pro forma combined financial information prepared in accordance with the rules and regulations of the U.S. Securities and Exchange Commission (“SEC”). Differences between these preliminary estimates and the final acquisition accounting will exist, and these differences could have a material impact on the accompanying Unaudited Pro Forma Combined Financial Information and the combined company’s future results of operations and financial position.</w:t>
      </w:r>
    </w:p>
    <w:p>
      <w:pPr>
        <w:spacing w:after="0" w:line="167"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The Unaudited Pro Forma Combined Financial Information has been compiled in a manner consistent with the accounting policies adopted by Forrester in all material aspects. Forrester has performed a detailed review of Sirius’ accounting policies. Subsequent to the Acquisition, Forrester may identify additional differences between the accounting policies of the two companies that, when conformed, could have a material impact on the financial statements of the combined company.</w:t>
      </w:r>
    </w:p>
    <w:p>
      <w:pPr>
        <w:spacing w:after="0" w:line="187" w:lineRule="exact"/>
        <w:rPr>
          <w:sz w:val="20"/>
          <w:szCs w:val="20"/>
          <w:color w:val="auto"/>
        </w:rPr>
      </w:pPr>
    </w:p>
    <w:p>
      <w:pPr>
        <w:jc w:val="both"/>
        <w:ind w:right="200"/>
        <w:spacing w:after="0" w:line="342" w:lineRule="auto"/>
        <w:rPr>
          <w:sz w:val="20"/>
          <w:szCs w:val="20"/>
          <w:color w:val="auto"/>
        </w:rPr>
      </w:pPr>
      <w:r>
        <w:rPr>
          <w:rFonts w:ascii="Arial" w:cs="Arial" w:eastAsia="Arial" w:hAnsi="Arial"/>
          <w:sz w:val="16"/>
          <w:szCs w:val="16"/>
          <w:color w:val="auto"/>
        </w:rPr>
        <w:t>Additionally, certain financial information of Sirius as presented in its historical financial statements has been reclassified to conform to the historical presentation in Forrester’s financial statements for purposes of preparation of the Unaudited Pro Forma Combined Financial Information (see Note 8).</w:t>
      </w:r>
    </w:p>
    <w:p>
      <w:pPr>
        <w:spacing w:after="0" w:line="124" w:lineRule="exact"/>
        <w:rPr>
          <w:sz w:val="20"/>
          <w:szCs w:val="20"/>
          <w:color w:val="auto"/>
        </w:rPr>
      </w:pPr>
    </w:p>
    <w:p>
      <w:pPr>
        <w:spacing w:after="0" w:line="291" w:lineRule="auto"/>
        <w:rPr>
          <w:sz w:val="20"/>
          <w:szCs w:val="20"/>
          <w:color w:val="auto"/>
        </w:rPr>
      </w:pPr>
      <w:r>
        <w:rPr>
          <w:rFonts w:ascii="Arial" w:cs="Arial" w:eastAsia="Arial" w:hAnsi="Arial"/>
          <w:sz w:val="16"/>
          <w:szCs w:val="16"/>
          <w:color w:val="auto"/>
        </w:rPr>
        <w:t>The unaudited pro forma combined balance sheet gives effect to the transaction as if it had been completed on December 31, 2018. The unaudited pro forma combined statement of operations gives effect to the transaction as if it had been completed on January 1, 2018. This Unaudited Pro Forma Combined Financial Information was derived from and should be read in conjunction with the separate historical (i) audited financial statements of Forrester as of and for the year ended December 31, 2018 and the related notes included in Forrester’s Annual Report on Form 10-K for the year ended December 31, 2018 that Forrester filed with the SEC on March 8, 2019, (ii) Sirius’ audited consolidated financial statements as of and for the year ended March 31, 2018, which are included in this Current Report on Form 8-K/A, and (iii) Sirius’ unaudited condensed consolidated financial statements as of and for the nine months ended December 31, 2018, which are included in this Current Report on Form 8-K/A.</w:t>
      </w:r>
    </w:p>
    <w:p>
      <w:pPr>
        <w:spacing w:after="0" w:line="1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020"/>
          </w:cols>
          <w:pgMar w:left="440" w:top="274" w:right="439" w:bottom="1440" w:gutter="0" w:footer="0" w:header="0"/>
        </w:sectPr>
      </w:pPr>
    </w:p>
    <w:bookmarkStart w:id="36" w:name="page37"/>
    <w:bookmarkEnd w:id="36"/>
    <w:p>
      <w:pPr>
        <w:jc w:val="center"/>
        <w:ind w:right="2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289165" cy="38735"/>
                    </a:xfrm>
                    <a:prstGeom prst="rect">
                      <a:avLst/>
                    </a:prstGeom>
                    <a:noFill/>
                  </pic:spPr>
                </pic:pic>
              </a:graphicData>
            </a:graphic>
          </wp:anchor>
        </w:drawing>
        <w:t>Forrester Research, Inc.</w:t>
      </w:r>
    </w:p>
    <w:p>
      <w:pPr>
        <w:spacing w:after="0" w:line="27"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Unaudited Pro Forma Combined Balance Sheet</w:t>
      </w:r>
    </w:p>
    <w:p>
      <w:pPr>
        <w:spacing w:after="0" w:line="9"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As of December 31, 2018</w:t>
      </w:r>
    </w:p>
    <w:p>
      <w:pPr>
        <w:spacing w:after="0" w:line="9" w:lineRule="exact"/>
        <w:rPr>
          <w:sz w:val="20"/>
          <w:szCs w:val="20"/>
          <w:color w:val="auto"/>
        </w:rPr>
      </w:pPr>
    </w:p>
    <w:p>
      <w:pPr>
        <w:jc w:val="center"/>
        <w:ind w:right="20"/>
        <w:spacing w:after="0"/>
        <w:rPr>
          <w:sz w:val="20"/>
          <w:szCs w:val="20"/>
          <w:color w:val="auto"/>
        </w:rPr>
      </w:pPr>
      <w:r>
        <w:rPr>
          <w:rFonts w:ascii="Arial" w:cs="Arial" w:eastAsia="Arial" w:hAnsi="Arial"/>
          <w:sz w:val="18"/>
          <w:szCs w:val="18"/>
          <w:i w:val="1"/>
          <w:iCs w:val="1"/>
          <w:color w:val="auto"/>
        </w:rPr>
        <w:t>(amounts in thousands)</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0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60" w:type="dxa"/>
            <w:vAlign w:val="bottom"/>
            <w:gridSpan w:val="3"/>
            <w:vMerge w:val="restart"/>
          </w:tcPr>
          <w:p>
            <w:pPr>
              <w:jc w:val="center"/>
              <w:ind w:right="100"/>
              <w:spacing w:after="0"/>
              <w:rPr>
                <w:sz w:val="20"/>
                <w:szCs w:val="20"/>
                <w:color w:val="auto"/>
              </w:rPr>
            </w:pPr>
            <w:r>
              <w:rPr>
                <w:rFonts w:ascii="Arial" w:cs="Arial" w:eastAsia="Arial" w:hAnsi="Arial"/>
                <w:sz w:val="14"/>
                <w:szCs w:val="14"/>
                <w:b w:val="1"/>
                <w:bCs w:val="1"/>
                <w:color w:val="auto"/>
                <w:w w:val="93"/>
              </w:rPr>
              <w:t>Historical</w:t>
            </w:r>
          </w:p>
        </w:tc>
        <w:tc>
          <w:tcPr>
            <w:tcW w:w="60" w:type="dxa"/>
            <w:vAlign w:val="bottom"/>
          </w:tcPr>
          <w:p>
            <w:pPr>
              <w:spacing w:after="0"/>
              <w:rPr>
                <w:sz w:val="14"/>
                <w:szCs w:val="14"/>
                <w:color w:val="auto"/>
              </w:rPr>
            </w:pPr>
          </w:p>
        </w:tc>
        <w:tc>
          <w:tcPr>
            <w:tcW w:w="760" w:type="dxa"/>
            <w:vAlign w:val="bottom"/>
            <w:gridSpan w:val="3"/>
          </w:tcPr>
          <w:p>
            <w:pPr>
              <w:jc w:val="center"/>
              <w:ind w:right="80"/>
              <w:spacing w:after="0"/>
              <w:rPr>
                <w:sz w:val="20"/>
                <w:szCs w:val="20"/>
                <w:color w:val="auto"/>
              </w:rPr>
            </w:pPr>
            <w:r>
              <w:rPr>
                <w:rFonts w:ascii="Arial" w:cs="Arial" w:eastAsia="Arial" w:hAnsi="Arial"/>
                <w:sz w:val="14"/>
                <w:szCs w:val="14"/>
                <w:b w:val="1"/>
                <w:bCs w:val="1"/>
                <w:color w:val="auto"/>
                <w:w w:val="93"/>
              </w:rPr>
              <w:t>Historical</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0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60" w:type="dxa"/>
            <w:vAlign w:val="bottom"/>
            <w:gridSpan w:val="3"/>
            <w:vMerge w:val="continue"/>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gridSpan w:val="2"/>
          </w:tcPr>
          <w:p>
            <w:pPr>
              <w:jc w:val="center"/>
              <w:ind w:right="160"/>
              <w:spacing w:after="0" w:line="149" w:lineRule="exact"/>
              <w:rPr>
                <w:sz w:val="20"/>
                <w:szCs w:val="20"/>
                <w:color w:val="auto"/>
              </w:rPr>
            </w:pPr>
            <w:r>
              <w:rPr>
                <w:rFonts w:ascii="Arial" w:cs="Arial" w:eastAsia="Arial" w:hAnsi="Arial"/>
                <w:sz w:val="14"/>
                <w:szCs w:val="14"/>
                <w:b w:val="1"/>
                <w:bCs w:val="1"/>
                <w:color w:val="auto"/>
                <w:w w:val="92"/>
              </w:rPr>
              <w:t>Sirius</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0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60" w:type="dxa"/>
            <w:vAlign w:val="bottom"/>
            <w:gridSpan w:val="3"/>
          </w:tcPr>
          <w:p>
            <w:pPr>
              <w:jc w:val="center"/>
              <w:ind w:right="120"/>
              <w:spacing w:after="0" w:line="149" w:lineRule="exact"/>
              <w:rPr>
                <w:sz w:val="20"/>
                <w:szCs w:val="20"/>
                <w:color w:val="auto"/>
              </w:rPr>
            </w:pPr>
            <w:r>
              <w:rPr>
                <w:rFonts w:ascii="Arial" w:cs="Arial" w:eastAsia="Arial" w:hAnsi="Arial"/>
                <w:sz w:val="14"/>
                <w:szCs w:val="14"/>
                <w:b w:val="1"/>
                <w:bCs w:val="1"/>
                <w:color w:val="auto"/>
                <w:w w:val="94"/>
              </w:rPr>
              <w:t>Forrester</w:t>
            </w: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gridSpan w:val="2"/>
          </w:tcPr>
          <w:p>
            <w:pPr>
              <w:jc w:val="center"/>
              <w:ind w:right="160"/>
              <w:spacing w:after="0" w:line="149" w:lineRule="exact"/>
              <w:rPr>
                <w:sz w:val="20"/>
                <w:szCs w:val="20"/>
                <w:color w:val="auto"/>
              </w:rPr>
            </w:pPr>
            <w:r>
              <w:rPr>
                <w:rFonts w:ascii="Arial" w:cs="Arial" w:eastAsia="Arial" w:hAnsi="Arial"/>
                <w:sz w:val="14"/>
                <w:szCs w:val="14"/>
                <w:b w:val="1"/>
                <w:bCs w:val="1"/>
                <w:color w:val="auto"/>
                <w:w w:val="89"/>
              </w:rPr>
              <w:t>As</w:t>
            </w:r>
          </w:p>
        </w:tc>
        <w:tc>
          <w:tcPr>
            <w:tcW w:w="80" w:type="dxa"/>
            <w:vAlign w:val="bottom"/>
          </w:tcPr>
          <w:p>
            <w:pPr>
              <w:spacing w:after="0"/>
              <w:rPr>
                <w:sz w:val="12"/>
                <w:szCs w:val="12"/>
                <w:color w:val="auto"/>
              </w:rPr>
            </w:pPr>
          </w:p>
        </w:tc>
        <w:tc>
          <w:tcPr>
            <w:tcW w:w="960" w:type="dxa"/>
            <w:vAlign w:val="bottom"/>
            <w:gridSpan w:val="3"/>
            <w:vMerge w:val="restart"/>
          </w:tcPr>
          <w:p>
            <w:pPr>
              <w:jc w:val="right"/>
              <w:ind w:right="240"/>
              <w:spacing w:after="0"/>
              <w:rPr>
                <w:sz w:val="20"/>
                <w:szCs w:val="20"/>
                <w:color w:val="auto"/>
              </w:rPr>
            </w:pPr>
            <w:r>
              <w:rPr>
                <w:rFonts w:ascii="Arial" w:cs="Arial" w:eastAsia="Arial" w:hAnsi="Arial"/>
                <w:sz w:val="14"/>
                <w:szCs w:val="14"/>
                <w:b w:val="1"/>
                <w:bCs w:val="1"/>
                <w:color w:val="auto"/>
                <w:w w:val="99"/>
              </w:rPr>
              <w:t>Pro Forma</w:t>
            </w:r>
          </w:p>
        </w:tc>
        <w:tc>
          <w:tcPr>
            <w:tcW w:w="4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00" w:type="dxa"/>
            <w:vAlign w:val="bottom"/>
            <w:vMerge w:val="restart"/>
          </w:tcPr>
          <w:p>
            <w:pPr>
              <w:jc w:val="right"/>
              <w:spacing w:after="0"/>
              <w:rPr>
                <w:sz w:val="20"/>
                <w:szCs w:val="20"/>
                <w:color w:val="auto"/>
              </w:rPr>
            </w:pPr>
            <w:r>
              <w:rPr>
                <w:rFonts w:ascii="Arial" w:cs="Arial" w:eastAsia="Arial" w:hAnsi="Arial"/>
                <w:sz w:val="14"/>
                <w:szCs w:val="14"/>
                <w:b w:val="1"/>
                <w:bCs w:val="1"/>
                <w:color w:val="auto"/>
                <w:w w:val="90"/>
              </w:rPr>
              <w:t>Financing</w:t>
            </w:r>
          </w:p>
        </w:tc>
        <w:tc>
          <w:tcPr>
            <w:tcW w:w="1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60" w:type="dxa"/>
            <w:vAlign w:val="bottom"/>
            <w:gridSpan w:val="3"/>
            <w:vMerge w:val="restart"/>
          </w:tcPr>
          <w:p>
            <w:pPr>
              <w:jc w:val="right"/>
              <w:ind w:right="160"/>
              <w:spacing w:after="0"/>
              <w:rPr>
                <w:sz w:val="20"/>
                <w:szCs w:val="20"/>
                <w:color w:val="auto"/>
              </w:rPr>
            </w:pPr>
            <w:r>
              <w:rPr>
                <w:rFonts w:ascii="Arial" w:cs="Arial" w:eastAsia="Arial" w:hAnsi="Arial"/>
                <w:sz w:val="14"/>
                <w:szCs w:val="14"/>
                <w:b w:val="1"/>
                <w:bCs w:val="1"/>
                <w:color w:val="auto"/>
                <w:w w:val="97"/>
              </w:rPr>
              <w:t>Pro Forma</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0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89"/>
              </w:rPr>
              <w:t>As</w:t>
            </w:r>
          </w:p>
        </w:tc>
        <w:tc>
          <w:tcPr>
            <w:tcW w:w="60" w:type="dxa"/>
            <w:vAlign w:val="bottom"/>
          </w:tcPr>
          <w:p>
            <w:pPr>
              <w:spacing w:after="0"/>
              <w:rPr>
                <w:sz w:val="12"/>
                <w:szCs w:val="12"/>
                <w:color w:val="auto"/>
              </w:rPr>
            </w:pPr>
          </w:p>
        </w:tc>
        <w:tc>
          <w:tcPr>
            <w:tcW w:w="760" w:type="dxa"/>
            <w:vAlign w:val="bottom"/>
            <w:gridSpan w:val="3"/>
          </w:tcPr>
          <w:p>
            <w:pPr>
              <w:jc w:val="center"/>
              <w:ind w:right="80"/>
              <w:spacing w:after="0" w:line="149" w:lineRule="exact"/>
              <w:rPr>
                <w:sz w:val="20"/>
                <w:szCs w:val="20"/>
                <w:color w:val="auto"/>
              </w:rPr>
            </w:pPr>
            <w:r>
              <w:rPr>
                <w:rFonts w:ascii="Arial" w:cs="Arial" w:eastAsia="Arial" w:hAnsi="Arial"/>
                <w:sz w:val="14"/>
                <w:szCs w:val="14"/>
                <w:b w:val="1"/>
                <w:bCs w:val="1"/>
                <w:color w:val="auto"/>
                <w:w w:val="93"/>
              </w:rPr>
              <w:t>Adjusted</w:t>
            </w:r>
          </w:p>
        </w:tc>
        <w:tc>
          <w:tcPr>
            <w:tcW w:w="80" w:type="dxa"/>
            <w:vAlign w:val="bottom"/>
          </w:tcPr>
          <w:p>
            <w:pPr>
              <w:spacing w:after="0"/>
              <w:rPr>
                <w:sz w:val="12"/>
                <w:szCs w:val="12"/>
                <w:color w:val="auto"/>
              </w:rPr>
            </w:pPr>
          </w:p>
        </w:tc>
        <w:tc>
          <w:tcPr>
            <w:tcW w:w="960" w:type="dxa"/>
            <w:vAlign w:val="bottom"/>
            <w:gridSpan w:val="3"/>
            <w:vMerge w:val="continue"/>
          </w:tcPr>
          <w:p>
            <w:pPr>
              <w:spacing w:after="0"/>
              <w:rPr>
                <w:sz w:val="12"/>
                <w:szCs w:val="12"/>
                <w:color w:val="auto"/>
              </w:rPr>
            </w:pPr>
          </w:p>
        </w:tc>
        <w:tc>
          <w:tcPr>
            <w:tcW w:w="480" w:type="dxa"/>
            <w:vAlign w:val="bottom"/>
            <w:vMerge w:val="restart"/>
          </w:tcPr>
          <w:p>
            <w:pPr>
              <w:jc w:val="right"/>
              <w:ind w:right="11"/>
              <w:spacing w:after="0"/>
              <w:rPr>
                <w:sz w:val="20"/>
                <w:szCs w:val="20"/>
                <w:color w:val="auto"/>
              </w:rPr>
            </w:pPr>
            <w:r>
              <w:rPr>
                <w:rFonts w:ascii="Arial" w:cs="Arial" w:eastAsia="Arial" w:hAnsi="Arial"/>
                <w:sz w:val="14"/>
                <w:szCs w:val="14"/>
                <w:b w:val="1"/>
                <w:bCs w:val="1"/>
                <w:color w:val="auto"/>
              </w:rPr>
              <w:t>Note</w:t>
            </w: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00" w:type="dxa"/>
            <w:vAlign w:val="bottom"/>
            <w:vMerge w:val="continue"/>
          </w:tcPr>
          <w:p>
            <w:pPr>
              <w:spacing w:after="0"/>
              <w:rPr>
                <w:sz w:val="12"/>
                <w:szCs w:val="12"/>
                <w:color w:val="auto"/>
              </w:rPr>
            </w:pPr>
          </w:p>
        </w:tc>
        <w:tc>
          <w:tcPr>
            <w:tcW w:w="180" w:type="dxa"/>
            <w:vAlign w:val="bottom"/>
          </w:tcPr>
          <w:p>
            <w:pPr>
              <w:spacing w:after="0"/>
              <w:rPr>
                <w:sz w:val="12"/>
                <w:szCs w:val="12"/>
                <w:color w:val="auto"/>
              </w:rPr>
            </w:pPr>
          </w:p>
        </w:tc>
        <w:tc>
          <w:tcPr>
            <w:tcW w:w="560" w:type="dxa"/>
            <w:vAlign w:val="bottom"/>
            <w:vMerge w:val="restart"/>
          </w:tcPr>
          <w:p>
            <w:pPr>
              <w:jc w:val="right"/>
              <w:ind w:right="54"/>
              <w:spacing w:after="0"/>
              <w:rPr>
                <w:sz w:val="20"/>
                <w:szCs w:val="20"/>
                <w:color w:val="auto"/>
              </w:rPr>
            </w:pPr>
            <w:r>
              <w:rPr>
                <w:rFonts w:ascii="Arial" w:cs="Arial" w:eastAsia="Arial" w:hAnsi="Arial"/>
                <w:sz w:val="14"/>
                <w:szCs w:val="14"/>
                <w:b w:val="1"/>
                <w:bCs w:val="1"/>
                <w:color w:val="auto"/>
              </w:rPr>
              <w:t>Note</w:t>
            </w:r>
          </w:p>
        </w:tc>
        <w:tc>
          <w:tcPr>
            <w:tcW w:w="160" w:type="dxa"/>
            <w:vAlign w:val="bottom"/>
          </w:tcPr>
          <w:p>
            <w:pPr>
              <w:spacing w:after="0"/>
              <w:rPr>
                <w:sz w:val="12"/>
                <w:szCs w:val="12"/>
                <w:color w:val="auto"/>
              </w:rPr>
            </w:pPr>
          </w:p>
        </w:tc>
        <w:tc>
          <w:tcPr>
            <w:tcW w:w="860" w:type="dxa"/>
            <w:vAlign w:val="bottom"/>
            <w:gridSpan w:val="3"/>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50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60" w:type="dxa"/>
            <w:vAlign w:val="bottom"/>
            <w:gridSpan w:val="3"/>
          </w:tcPr>
          <w:p>
            <w:pPr>
              <w:jc w:val="center"/>
              <w:ind w:right="120"/>
              <w:spacing w:after="0"/>
              <w:rPr>
                <w:sz w:val="20"/>
                <w:szCs w:val="20"/>
                <w:color w:val="auto"/>
              </w:rPr>
            </w:pPr>
            <w:r>
              <w:rPr>
                <w:rFonts w:ascii="Arial" w:cs="Arial" w:eastAsia="Arial" w:hAnsi="Arial"/>
                <w:sz w:val="14"/>
                <w:szCs w:val="14"/>
                <w:b w:val="1"/>
                <w:bCs w:val="1"/>
                <w:color w:val="auto"/>
                <w:w w:val="94"/>
              </w:rPr>
              <w:t>Reported</w:t>
            </w:r>
          </w:p>
        </w:tc>
        <w:tc>
          <w:tcPr>
            <w:tcW w:w="60" w:type="dxa"/>
            <w:vAlign w:val="bottom"/>
          </w:tcPr>
          <w:p>
            <w:pPr>
              <w:spacing w:after="0"/>
              <w:rPr>
                <w:sz w:val="14"/>
                <w:szCs w:val="14"/>
                <w:color w:val="auto"/>
              </w:rPr>
            </w:pPr>
          </w:p>
        </w:tc>
        <w:tc>
          <w:tcPr>
            <w:tcW w:w="760" w:type="dxa"/>
            <w:vAlign w:val="bottom"/>
            <w:gridSpan w:val="3"/>
          </w:tcPr>
          <w:p>
            <w:pPr>
              <w:jc w:val="right"/>
              <w:ind w:right="160"/>
              <w:spacing w:after="0"/>
              <w:rPr>
                <w:sz w:val="20"/>
                <w:szCs w:val="20"/>
                <w:color w:val="auto"/>
              </w:rPr>
            </w:pPr>
            <w:r>
              <w:rPr>
                <w:rFonts w:ascii="Arial" w:cs="Arial" w:eastAsia="Arial" w:hAnsi="Arial"/>
                <w:sz w:val="14"/>
                <w:szCs w:val="14"/>
                <w:b w:val="1"/>
                <w:bCs w:val="1"/>
                <w:color w:val="auto"/>
              </w:rPr>
              <w:t>(Note 8)</w:t>
            </w:r>
          </w:p>
        </w:tc>
        <w:tc>
          <w:tcPr>
            <w:tcW w:w="1040" w:type="dxa"/>
            <w:vAlign w:val="bottom"/>
            <w:gridSpan w:val="4"/>
          </w:tcPr>
          <w:p>
            <w:pPr>
              <w:jc w:val="right"/>
              <w:ind w:right="180"/>
              <w:spacing w:after="0"/>
              <w:rPr>
                <w:sz w:val="20"/>
                <w:szCs w:val="20"/>
                <w:color w:val="auto"/>
              </w:rPr>
            </w:pPr>
            <w:r>
              <w:rPr>
                <w:rFonts w:ascii="Arial" w:cs="Arial" w:eastAsia="Arial" w:hAnsi="Arial"/>
                <w:sz w:val="14"/>
                <w:szCs w:val="14"/>
                <w:b w:val="1"/>
                <w:bCs w:val="1"/>
                <w:color w:val="auto"/>
                <w:w w:val="99"/>
              </w:rPr>
              <w:t>Adjustments</w:t>
            </w:r>
          </w:p>
        </w:tc>
        <w:tc>
          <w:tcPr>
            <w:tcW w:w="480" w:type="dxa"/>
            <w:vAlign w:val="bottom"/>
            <w:vMerge w:val="continue"/>
          </w:tcPr>
          <w:p>
            <w:pPr>
              <w:spacing w:after="0"/>
              <w:rPr>
                <w:sz w:val="14"/>
                <w:szCs w:val="14"/>
                <w:color w:val="auto"/>
              </w:rPr>
            </w:pPr>
          </w:p>
        </w:tc>
        <w:tc>
          <w:tcPr>
            <w:tcW w:w="960" w:type="dxa"/>
            <w:vAlign w:val="bottom"/>
            <w:gridSpan w:val="3"/>
          </w:tcPr>
          <w:p>
            <w:pPr>
              <w:jc w:val="right"/>
              <w:spacing w:after="0"/>
              <w:rPr>
                <w:sz w:val="20"/>
                <w:szCs w:val="20"/>
                <w:color w:val="auto"/>
              </w:rPr>
            </w:pPr>
            <w:r>
              <w:rPr>
                <w:rFonts w:ascii="Arial" w:cs="Arial" w:eastAsia="Arial" w:hAnsi="Arial"/>
                <w:sz w:val="14"/>
                <w:szCs w:val="14"/>
                <w:b w:val="1"/>
                <w:bCs w:val="1"/>
                <w:color w:val="auto"/>
              </w:rPr>
              <w:t>Adjustments</w:t>
            </w:r>
          </w:p>
        </w:tc>
        <w:tc>
          <w:tcPr>
            <w:tcW w:w="180" w:type="dxa"/>
            <w:vAlign w:val="bottom"/>
          </w:tcPr>
          <w:p>
            <w:pPr>
              <w:spacing w:after="0"/>
              <w:rPr>
                <w:sz w:val="14"/>
                <w:szCs w:val="14"/>
                <w:color w:val="auto"/>
              </w:rPr>
            </w:pPr>
          </w:p>
        </w:tc>
        <w:tc>
          <w:tcPr>
            <w:tcW w:w="560" w:type="dxa"/>
            <w:vAlign w:val="bottom"/>
            <w:vMerge w:val="continue"/>
          </w:tcPr>
          <w:p>
            <w:pPr>
              <w:spacing w:after="0"/>
              <w:rPr>
                <w:sz w:val="14"/>
                <w:szCs w:val="14"/>
                <w:color w:val="auto"/>
              </w:rPr>
            </w:pPr>
          </w:p>
        </w:tc>
        <w:tc>
          <w:tcPr>
            <w:tcW w:w="160" w:type="dxa"/>
            <w:vAlign w:val="bottom"/>
          </w:tcPr>
          <w:p>
            <w:pPr>
              <w:spacing w:after="0"/>
              <w:rPr>
                <w:sz w:val="14"/>
                <w:szCs w:val="14"/>
                <w:color w:val="auto"/>
              </w:rPr>
            </w:pPr>
          </w:p>
        </w:tc>
        <w:tc>
          <w:tcPr>
            <w:tcW w:w="860" w:type="dxa"/>
            <w:vAlign w:val="bottom"/>
            <w:gridSpan w:val="3"/>
          </w:tcPr>
          <w:p>
            <w:pPr>
              <w:jc w:val="right"/>
              <w:ind w:right="180"/>
              <w:spacing w:after="0"/>
              <w:rPr>
                <w:sz w:val="20"/>
                <w:szCs w:val="20"/>
                <w:color w:val="auto"/>
              </w:rPr>
            </w:pPr>
            <w:r>
              <w:rPr>
                <w:rFonts w:ascii="Arial" w:cs="Arial" w:eastAsia="Arial" w:hAnsi="Arial"/>
                <w:sz w:val="14"/>
                <w:szCs w:val="14"/>
                <w:b w:val="1"/>
                <w:bCs w:val="1"/>
                <w:color w:val="auto"/>
                <w:w w:val="96"/>
              </w:rPr>
              <w:t>Combined</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504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Assets</w:t>
            </w:r>
          </w:p>
        </w:tc>
        <w:tc>
          <w:tcPr>
            <w:tcW w:w="6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66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6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17"/>
                <w:szCs w:val="17"/>
                <w:color w:val="auto"/>
              </w:rPr>
            </w:pPr>
          </w:p>
        </w:tc>
        <w:tc>
          <w:tcPr>
            <w:tcW w:w="58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680" w:type="dxa"/>
            <w:vAlign w:val="bottom"/>
            <w:tcBorders>
              <w:top w:val="single" w:sz="8" w:color="auto"/>
            </w:tcBorders>
            <w:shd w:val="clear" w:color="auto" w:fill="CCEEFF"/>
          </w:tcPr>
          <w:p>
            <w:pPr>
              <w:spacing w:after="0"/>
              <w:rPr>
                <w:sz w:val="17"/>
                <w:szCs w:val="17"/>
                <w:color w:val="auto"/>
              </w:rPr>
            </w:pPr>
          </w:p>
        </w:tc>
        <w:tc>
          <w:tcPr>
            <w:tcW w:w="180" w:type="dxa"/>
            <w:vAlign w:val="bottom"/>
            <w:tcBorders>
              <w:top w:val="single" w:sz="8" w:color="CCEEFF"/>
            </w:tcBorders>
            <w:shd w:val="clear" w:color="auto" w:fill="CCEEFF"/>
          </w:tcPr>
          <w:p>
            <w:pPr>
              <w:spacing w:after="0"/>
              <w:rPr>
                <w:sz w:val="17"/>
                <w:szCs w:val="17"/>
                <w:color w:val="auto"/>
              </w:rPr>
            </w:pPr>
          </w:p>
        </w:tc>
        <w:tc>
          <w:tcPr>
            <w:tcW w:w="480" w:type="dxa"/>
            <w:vAlign w:val="bottom"/>
            <w:tcBorders>
              <w:top w:val="single" w:sz="8" w:color="auto"/>
            </w:tcBorders>
            <w:shd w:val="clear" w:color="auto" w:fill="CCEEFF"/>
          </w:tcPr>
          <w:p>
            <w:pPr>
              <w:spacing w:after="0"/>
              <w:rPr>
                <w:sz w:val="17"/>
                <w:szCs w:val="17"/>
                <w:color w:val="auto"/>
              </w:rPr>
            </w:pPr>
          </w:p>
        </w:tc>
        <w:tc>
          <w:tcPr>
            <w:tcW w:w="18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17"/>
                <w:szCs w:val="17"/>
                <w:color w:val="auto"/>
              </w:rPr>
            </w:pPr>
          </w:p>
        </w:tc>
        <w:tc>
          <w:tcPr>
            <w:tcW w:w="700" w:type="dxa"/>
            <w:vAlign w:val="bottom"/>
            <w:tcBorders>
              <w:top w:val="single" w:sz="8" w:color="auto"/>
            </w:tcBorders>
            <w:shd w:val="clear" w:color="auto" w:fill="CCEEFF"/>
          </w:tcPr>
          <w:p>
            <w:pPr>
              <w:spacing w:after="0"/>
              <w:rPr>
                <w:sz w:val="17"/>
                <w:szCs w:val="17"/>
                <w:color w:val="auto"/>
              </w:rPr>
            </w:pPr>
          </w:p>
        </w:tc>
        <w:tc>
          <w:tcPr>
            <w:tcW w:w="180" w:type="dxa"/>
            <w:vAlign w:val="bottom"/>
            <w:tcBorders>
              <w:top w:val="single" w:sz="8" w:color="CCEEFF"/>
            </w:tcBorders>
            <w:shd w:val="clear" w:color="auto" w:fill="CCEEFF"/>
          </w:tcPr>
          <w:p>
            <w:pPr>
              <w:spacing w:after="0"/>
              <w:rPr>
                <w:sz w:val="17"/>
                <w:szCs w:val="17"/>
                <w:color w:val="auto"/>
              </w:rPr>
            </w:pPr>
          </w:p>
        </w:tc>
        <w:tc>
          <w:tcPr>
            <w:tcW w:w="560" w:type="dxa"/>
            <w:vAlign w:val="bottom"/>
            <w:tcBorders>
              <w:top w:val="single" w:sz="8" w:color="auto"/>
            </w:tcBorders>
            <w:shd w:val="clear" w:color="auto" w:fill="CCEEFF"/>
          </w:tcPr>
          <w:p>
            <w:pPr>
              <w:spacing w:after="0"/>
              <w:rPr>
                <w:sz w:val="17"/>
                <w:szCs w:val="17"/>
                <w:color w:val="auto"/>
              </w:rPr>
            </w:pPr>
          </w:p>
        </w:tc>
        <w:tc>
          <w:tcPr>
            <w:tcW w:w="16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17"/>
                <w:szCs w:val="17"/>
                <w:color w:val="auto"/>
              </w:rPr>
            </w:pPr>
          </w:p>
        </w:tc>
        <w:tc>
          <w:tcPr>
            <w:tcW w:w="66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40" w:type="dxa"/>
            <w:vAlign w:val="bottom"/>
          </w:tcPr>
          <w:p>
            <w:pPr>
              <w:spacing w:after="0"/>
              <w:rPr>
                <w:sz w:val="20"/>
                <w:szCs w:val="20"/>
                <w:color w:val="auto"/>
              </w:rPr>
            </w:pPr>
            <w:r>
              <w:rPr>
                <w:rFonts w:ascii="Arial" w:cs="Arial" w:eastAsia="Arial" w:hAnsi="Arial"/>
                <w:sz w:val="18"/>
                <w:szCs w:val="18"/>
                <w:b w:val="1"/>
                <w:bCs w:val="1"/>
                <w:color w:val="auto"/>
              </w:rPr>
              <w:t>Current Assets:</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40" w:type="dxa"/>
            <w:vAlign w:val="bottom"/>
            <w:shd w:val="clear" w:color="auto" w:fill="CCEEFF"/>
          </w:tcPr>
          <w:p>
            <w:pPr>
              <w:spacing w:after="0"/>
              <w:rPr>
                <w:sz w:val="20"/>
                <w:szCs w:val="20"/>
                <w:color w:val="auto"/>
              </w:rPr>
            </w:pPr>
            <w:r>
              <w:rPr>
                <w:rFonts w:ascii="Arial" w:cs="Arial" w:eastAsia="Arial" w:hAnsi="Arial"/>
                <w:sz w:val="18"/>
                <w:szCs w:val="18"/>
                <w:color w:val="auto"/>
              </w:rPr>
              <w:t>Cash and cash equivalents</w:t>
            </w:r>
          </w:p>
        </w:tc>
        <w:tc>
          <w:tcPr>
            <w:tcW w:w="1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140,296</w:t>
            </w:r>
          </w:p>
        </w:tc>
        <w:tc>
          <w:tcPr>
            <w:tcW w:w="100" w:type="dxa"/>
            <w:vAlign w:val="bottom"/>
            <w:shd w:val="clear" w:color="auto" w:fill="CCEEFF"/>
          </w:tcPr>
          <w:p>
            <w:pPr>
              <w:spacing w:after="0"/>
              <w:rPr>
                <w:sz w:val="18"/>
                <w:szCs w:val="18"/>
                <w:color w:val="auto"/>
              </w:rPr>
            </w:pPr>
          </w:p>
        </w:tc>
        <w:tc>
          <w:tcPr>
            <w:tcW w:w="1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7,205</w:t>
            </w:r>
          </w:p>
        </w:tc>
        <w:tc>
          <w:tcPr>
            <w:tcW w:w="100" w:type="dxa"/>
            <w:vAlign w:val="bottom"/>
            <w:shd w:val="clear" w:color="auto" w:fill="CCEEFF"/>
          </w:tcPr>
          <w:p>
            <w:pPr>
              <w:spacing w:after="0"/>
              <w:rPr>
                <w:sz w:val="18"/>
                <w:szCs w:val="18"/>
                <w:color w:val="auto"/>
              </w:rPr>
            </w:pPr>
          </w:p>
        </w:tc>
        <w:tc>
          <w:tcPr>
            <w:tcW w:w="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93"/>
              </w:rPr>
              <w:t>(248,922)</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6A</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170,744</w:t>
            </w:r>
          </w:p>
        </w:tc>
        <w:tc>
          <w:tcPr>
            <w:tcW w:w="18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6A, 6E</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69,323</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40" w:type="dxa"/>
            <w:vAlign w:val="bottom"/>
          </w:tcPr>
          <w:p>
            <w:pPr>
              <w:spacing w:after="0"/>
              <w:rPr>
                <w:sz w:val="20"/>
                <w:szCs w:val="20"/>
                <w:color w:val="auto"/>
              </w:rPr>
            </w:pPr>
            <w:r>
              <w:rPr>
                <w:rFonts w:ascii="Arial" w:cs="Arial" w:eastAsia="Arial" w:hAnsi="Arial"/>
                <w:sz w:val="18"/>
                <w:szCs w:val="18"/>
                <w:color w:val="auto"/>
              </w:rPr>
              <w:t>Accounts receivable, net</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67,318</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w w:val="98"/>
              </w:rPr>
              <w:t>13,037</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4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80,355</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40" w:type="dxa"/>
            <w:vAlign w:val="bottom"/>
            <w:shd w:val="clear" w:color="auto" w:fill="CCEEFF"/>
          </w:tcPr>
          <w:p>
            <w:pPr>
              <w:spacing w:after="0"/>
              <w:rPr>
                <w:sz w:val="20"/>
                <w:szCs w:val="20"/>
                <w:color w:val="auto"/>
              </w:rPr>
            </w:pPr>
            <w:r>
              <w:rPr>
                <w:rFonts w:ascii="Arial" w:cs="Arial" w:eastAsia="Arial" w:hAnsi="Arial"/>
                <w:sz w:val="18"/>
                <w:szCs w:val="18"/>
                <w:color w:val="auto"/>
              </w:rPr>
              <w:t>Deferred commissions</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15,677</w:t>
            </w: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662</w:t>
            </w: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(662)</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6G</w:t>
            </w: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15,677</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040" w:type="dxa"/>
            <w:vAlign w:val="bottom"/>
          </w:tcPr>
          <w:p>
            <w:pPr>
              <w:spacing w:after="0"/>
              <w:rPr>
                <w:sz w:val="20"/>
                <w:szCs w:val="20"/>
                <w:color w:val="auto"/>
              </w:rPr>
            </w:pPr>
            <w:r>
              <w:rPr>
                <w:rFonts w:ascii="Arial" w:cs="Arial" w:eastAsia="Arial" w:hAnsi="Arial"/>
                <w:sz w:val="18"/>
                <w:szCs w:val="18"/>
                <w:color w:val="auto"/>
              </w:rPr>
              <w:t>Prepaid expenses and other current assets</w:t>
            </w:r>
          </w:p>
        </w:tc>
        <w:tc>
          <w:tcPr>
            <w:tcW w:w="6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12,802</w:t>
            </w:r>
          </w:p>
        </w:tc>
        <w:tc>
          <w:tcPr>
            <w:tcW w:w="1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2,346</w:t>
            </w: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15,148</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40" w:type="dxa"/>
            <w:vAlign w:val="bottom"/>
            <w:shd w:val="clear" w:color="auto" w:fill="CCEEFF"/>
          </w:tcPr>
          <w:p>
            <w:pPr>
              <w:ind w:left="260"/>
              <w:spacing w:after="0"/>
              <w:rPr>
                <w:sz w:val="20"/>
                <w:szCs w:val="20"/>
                <w:color w:val="auto"/>
              </w:rPr>
            </w:pPr>
            <w:r>
              <w:rPr>
                <w:rFonts w:ascii="Arial" w:cs="Arial" w:eastAsia="Arial" w:hAnsi="Arial"/>
                <w:sz w:val="18"/>
                <w:szCs w:val="18"/>
                <w:color w:val="auto"/>
              </w:rPr>
              <w:t>Total current assets</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236,093</w:t>
            </w: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23,250</w:t>
            </w: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93"/>
              </w:rPr>
              <w:t>(249,584)</w:t>
            </w:r>
          </w:p>
        </w:tc>
        <w:tc>
          <w:tcPr>
            <w:tcW w:w="4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170,744</w:t>
            </w:r>
          </w:p>
        </w:tc>
        <w:tc>
          <w:tcPr>
            <w:tcW w:w="18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180,503</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40" w:type="dxa"/>
            <w:vAlign w:val="bottom"/>
          </w:tcPr>
          <w:p>
            <w:pPr>
              <w:spacing w:after="0"/>
              <w:rPr>
                <w:sz w:val="20"/>
                <w:szCs w:val="20"/>
                <w:color w:val="auto"/>
              </w:rPr>
            </w:pPr>
            <w:r>
              <w:rPr>
                <w:rFonts w:ascii="Arial" w:cs="Arial" w:eastAsia="Arial" w:hAnsi="Arial"/>
                <w:sz w:val="18"/>
                <w:szCs w:val="18"/>
                <w:color w:val="auto"/>
              </w:rPr>
              <w:t>Property and equipment, net</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22,005</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3,141</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310</w:t>
            </w:r>
          </w:p>
        </w:tc>
        <w:tc>
          <w:tcPr>
            <w:tcW w:w="18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6B</w:t>
            </w: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25,456</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40" w:type="dxa"/>
            <w:vAlign w:val="bottom"/>
            <w:shd w:val="clear" w:color="auto" w:fill="CCEEFF"/>
          </w:tcPr>
          <w:p>
            <w:pPr>
              <w:spacing w:after="0"/>
              <w:rPr>
                <w:sz w:val="20"/>
                <w:szCs w:val="20"/>
                <w:color w:val="auto"/>
              </w:rPr>
            </w:pPr>
            <w:r>
              <w:rPr>
                <w:rFonts w:ascii="Arial" w:cs="Arial" w:eastAsia="Arial" w:hAnsi="Arial"/>
                <w:sz w:val="18"/>
                <w:szCs w:val="18"/>
                <w:color w:val="auto"/>
              </w:rPr>
              <w:t>Goodwill</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85,165</w:t>
            </w: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164,642</w:t>
            </w:r>
          </w:p>
        </w:tc>
        <w:tc>
          <w:tcPr>
            <w:tcW w:w="18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6C</w:t>
            </w: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249,807</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40" w:type="dxa"/>
            <w:vAlign w:val="bottom"/>
          </w:tcPr>
          <w:p>
            <w:pPr>
              <w:spacing w:after="0"/>
              <w:rPr>
                <w:sz w:val="20"/>
                <w:szCs w:val="20"/>
                <w:color w:val="auto"/>
              </w:rPr>
            </w:pPr>
            <w:r>
              <w:rPr>
                <w:rFonts w:ascii="Arial" w:cs="Arial" w:eastAsia="Arial" w:hAnsi="Arial"/>
                <w:sz w:val="18"/>
                <w:szCs w:val="18"/>
                <w:color w:val="auto"/>
              </w:rPr>
              <w:t>Intangible assets, net</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4,951</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939</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111,061</w:t>
            </w:r>
          </w:p>
        </w:tc>
        <w:tc>
          <w:tcPr>
            <w:tcW w:w="18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6D</w:t>
            </w: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w w:val="98"/>
              </w:rPr>
              <w:t>116,951</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40" w:type="dxa"/>
            <w:vAlign w:val="bottom"/>
            <w:shd w:val="clear" w:color="auto" w:fill="CCEEFF"/>
          </w:tcPr>
          <w:p>
            <w:pPr>
              <w:spacing w:after="0"/>
              <w:rPr>
                <w:sz w:val="20"/>
                <w:szCs w:val="20"/>
                <w:color w:val="auto"/>
              </w:rPr>
            </w:pPr>
            <w:r>
              <w:rPr>
                <w:rFonts w:ascii="Arial" w:cs="Arial" w:eastAsia="Arial" w:hAnsi="Arial"/>
                <w:sz w:val="18"/>
                <w:szCs w:val="18"/>
                <w:color w:val="auto"/>
              </w:rPr>
              <w:t>Other assets</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5,310</w:t>
            </w: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269</w:t>
            </w: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4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1,429</w:t>
            </w:r>
          </w:p>
        </w:tc>
        <w:tc>
          <w:tcPr>
            <w:tcW w:w="18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6E</w:t>
            </w: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7,008</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040" w:type="dxa"/>
            <w:vAlign w:val="bottom"/>
          </w:tcPr>
          <w:p>
            <w:pPr>
              <w:ind w:left="260"/>
              <w:spacing w:after="0"/>
              <w:rPr>
                <w:sz w:val="20"/>
                <w:szCs w:val="20"/>
                <w:color w:val="auto"/>
              </w:rPr>
            </w:pPr>
            <w:r>
              <w:rPr>
                <w:rFonts w:ascii="Arial" w:cs="Arial" w:eastAsia="Arial" w:hAnsi="Arial"/>
                <w:sz w:val="18"/>
                <w:szCs w:val="18"/>
                <w:b w:val="1"/>
                <w:bCs w:val="1"/>
                <w:color w:val="auto"/>
              </w:rPr>
              <w:t>Total assets</w:t>
            </w:r>
          </w:p>
        </w:tc>
        <w:tc>
          <w:tcPr>
            <w:tcW w:w="6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79"/>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95"/>
              </w:rPr>
              <w:t>353,524</w:t>
            </w:r>
          </w:p>
        </w:tc>
        <w:tc>
          <w:tcPr>
            <w:tcW w:w="1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b w:val="1"/>
                <w:bCs w:val="1"/>
                <w:color w:val="auto"/>
                <w:w w:val="71"/>
              </w:rPr>
              <w:t>$</w:t>
            </w: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98"/>
              </w:rPr>
              <w:t>27,599</w:t>
            </w: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b w:val="1"/>
                <w:bCs w:val="1"/>
                <w:color w:val="auto"/>
                <w:w w:val="71"/>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26,429</w:t>
            </w:r>
          </w:p>
        </w:tc>
        <w:tc>
          <w:tcPr>
            <w:tcW w:w="18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b w:val="1"/>
                <w:bCs w:val="1"/>
                <w:color w:val="auto"/>
                <w:w w:val="71"/>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172,173</w:t>
            </w:r>
          </w:p>
        </w:tc>
        <w:tc>
          <w:tcPr>
            <w:tcW w:w="18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b w:val="1"/>
                <w:bCs w:val="1"/>
                <w:color w:val="auto"/>
                <w:w w:val="71"/>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98"/>
              </w:rPr>
              <w:t>579,725</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0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2"/>
        </w:trPr>
        <w:tc>
          <w:tcPr>
            <w:tcW w:w="20" w:type="dxa"/>
            <w:vAlign w:val="bottom"/>
          </w:tcPr>
          <w:p>
            <w:pPr>
              <w:spacing w:after="0"/>
              <w:rPr>
                <w:sz w:val="16"/>
                <w:szCs w:val="16"/>
                <w:color w:val="auto"/>
              </w:rPr>
            </w:pPr>
          </w:p>
        </w:tc>
        <w:tc>
          <w:tcPr>
            <w:tcW w:w="5040" w:type="dxa"/>
            <w:vAlign w:val="bottom"/>
            <w:shd w:val="clear" w:color="auto" w:fill="CCEEFF"/>
          </w:tcPr>
          <w:p>
            <w:pPr>
              <w:spacing w:after="0" w:line="192" w:lineRule="exact"/>
              <w:rPr>
                <w:sz w:val="20"/>
                <w:szCs w:val="20"/>
                <w:color w:val="auto"/>
              </w:rPr>
            </w:pPr>
            <w:r>
              <w:rPr>
                <w:rFonts w:ascii="Arial" w:cs="Arial" w:eastAsia="Arial" w:hAnsi="Arial"/>
                <w:sz w:val="18"/>
                <w:szCs w:val="18"/>
                <w:b w:val="1"/>
                <w:bCs w:val="1"/>
                <w:color w:val="auto"/>
              </w:rPr>
              <w:t>Liabilities, Convertible</w:t>
            </w:r>
          </w:p>
        </w:tc>
        <w:tc>
          <w:tcPr>
            <w:tcW w:w="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5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8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48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7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56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6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Preferred Stock and</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48"/>
        </w:trPr>
        <w:tc>
          <w:tcPr>
            <w:tcW w:w="20" w:type="dxa"/>
            <w:vAlign w:val="bottom"/>
          </w:tcPr>
          <w:p>
            <w:pPr>
              <w:spacing w:after="0"/>
              <w:rPr>
                <w:sz w:val="21"/>
                <w:szCs w:val="21"/>
                <w:color w:val="auto"/>
              </w:rPr>
            </w:pPr>
          </w:p>
        </w:tc>
        <w:tc>
          <w:tcPr>
            <w:tcW w:w="50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Stockholders’ Equity</w:t>
            </w:r>
          </w:p>
        </w:tc>
        <w:tc>
          <w:tcPr>
            <w:tcW w:w="6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66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5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68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48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70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56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66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40" w:type="dxa"/>
            <w:vAlign w:val="bottom"/>
          </w:tcPr>
          <w:p>
            <w:pPr>
              <w:spacing w:after="0"/>
              <w:rPr>
                <w:sz w:val="20"/>
                <w:szCs w:val="20"/>
                <w:color w:val="auto"/>
              </w:rPr>
            </w:pPr>
            <w:r>
              <w:rPr>
                <w:rFonts w:ascii="Arial" w:cs="Arial" w:eastAsia="Arial" w:hAnsi="Arial"/>
                <w:sz w:val="18"/>
                <w:szCs w:val="18"/>
                <w:b w:val="1"/>
                <w:bCs w:val="1"/>
                <w:color w:val="auto"/>
              </w:rPr>
              <w:t>Current Liabilities:</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40" w:type="dxa"/>
            <w:vAlign w:val="bottom"/>
            <w:shd w:val="clear" w:color="auto" w:fill="CCEEFF"/>
          </w:tcPr>
          <w:p>
            <w:pPr>
              <w:spacing w:after="0"/>
              <w:rPr>
                <w:sz w:val="20"/>
                <w:szCs w:val="20"/>
                <w:color w:val="auto"/>
              </w:rPr>
            </w:pPr>
            <w:r>
              <w:rPr>
                <w:rFonts w:ascii="Arial" w:cs="Arial" w:eastAsia="Arial" w:hAnsi="Arial"/>
                <w:sz w:val="18"/>
                <w:szCs w:val="18"/>
                <w:color w:val="auto"/>
              </w:rPr>
              <w:t>Accounts payable</w:t>
            </w:r>
          </w:p>
        </w:tc>
        <w:tc>
          <w:tcPr>
            <w:tcW w:w="1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588</w:t>
            </w:r>
          </w:p>
        </w:tc>
        <w:tc>
          <w:tcPr>
            <w:tcW w:w="100" w:type="dxa"/>
            <w:vAlign w:val="bottom"/>
            <w:shd w:val="clear" w:color="auto" w:fill="CCEEFF"/>
          </w:tcPr>
          <w:p>
            <w:pPr>
              <w:spacing w:after="0"/>
              <w:rPr>
                <w:sz w:val="18"/>
                <w:szCs w:val="18"/>
                <w:color w:val="auto"/>
              </w:rPr>
            </w:pPr>
          </w:p>
        </w:tc>
        <w:tc>
          <w:tcPr>
            <w:tcW w:w="1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648</w:t>
            </w:r>
          </w:p>
        </w:tc>
        <w:tc>
          <w:tcPr>
            <w:tcW w:w="100" w:type="dxa"/>
            <w:vAlign w:val="bottom"/>
            <w:shd w:val="clear" w:color="auto" w:fill="CCEEFF"/>
          </w:tcPr>
          <w:p>
            <w:pPr>
              <w:spacing w:after="0"/>
              <w:rPr>
                <w:sz w:val="18"/>
                <w:szCs w:val="18"/>
                <w:color w:val="auto"/>
              </w:rPr>
            </w:pPr>
          </w:p>
        </w:tc>
        <w:tc>
          <w:tcPr>
            <w:tcW w:w="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480" w:type="dxa"/>
            <w:vAlign w:val="bottom"/>
            <w:shd w:val="clear" w:color="auto" w:fill="CCEEFF"/>
          </w:tcPr>
          <w:p>
            <w:pPr>
              <w:spacing w:after="0"/>
              <w:rPr>
                <w:sz w:val="18"/>
                <w:szCs w:val="18"/>
                <w:color w:val="auto"/>
              </w:rPr>
            </w:pP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1,236</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40" w:type="dxa"/>
            <w:vAlign w:val="bottom"/>
          </w:tcPr>
          <w:p>
            <w:pPr>
              <w:spacing w:after="0"/>
              <w:rPr>
                <w:sz w:val="20"/>
                <w:szCs w:val="20"/>
                <w:color w:val="auto"/>
              </w:rPr>
            </w:pPr>
            <w:r>
              <w:rPr>
                <w:rFonts w:ascii="Arial" w:cs="Arial" w:eastAsia="Arial" w:hAnsi="Arial"/>
                <w:sz w:val="18"/>
                <w:szCs w:val="18"/>
                <w:color w:val="auto"/>
              </w:rPr>
              <w:t>Accrued expenses, other current liabilities</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54,065</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8,377</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4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62,442</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40" w:type="dxa"/>
            <w:vAlign w:val="bottom"/>
            <w:shd w:val="clear" w:color="auto" w:fill="CCEEFF"/>
          </w:tcPr>
          <w:p>
            <w:pPr>
              <w:spacing w:after="0"/>
              <w:rPr>
                <w:sz w:val="20"/>
                <w:szCs w:val="20"/>
                <w:color w:val="auto"/>
              </w:rPr>
            </w:pPr>
            <w:r>
              <w:rPr>
                <w:rFonts w:ascii="Arial" w:cs="Arial" w:eastAsia="Arial" w:hAnsi="Arial"/>
                <w:sz w:val="18"/>
                <w:szCs w:val="18"/>
                <w:color w:val="auto"/>
              </w:rPr>
              <w:t>Current portion of long term-debt</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4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6,250</w:t>
            </w:r>
          </w:p>
        </w:tc>
        <w:tc>
          <w:tcPr>
            <w:tcW w:w="18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6E</w:t>
            </w: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6,250</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40" w:type="dxa"/>
            <w:vAlign w:val="bottom"/>
          </w:tcPr>
          <w:p>
            <w:pPr>
              <w:spacing w:after="0"/>
              <w:rPr>
                <w:sz w:val="20"/>
                <w:szCs w:val="20"/>
                <w:color w:val="auto"/>
              </w:rPr>
            </w:pPr>
            <w:r>
              <w:rPr>
                <w:rFonts w:ascii="Arial" w:cs="Arial" w:eastAsia="Arial" w:hAnsi="Arial"/>
                <w:sz w:val="18"/>
                <w:szCs w:val="18"/>
                <w:color w:val="auto"/>
              </w:rPr>
              <w:t>Deferred revenue</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w w:val="95"/>
              </w:rPr>
              <w:t>135,332</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w w:val="98"/>
              </w:rPr>
              <w:t>29,489</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gridSpan w:val="2"/>
          </w:tcPr>
          <w:p>
            <w:pPr>
              <w:jc w:val="right"/>
              <w:ind w:right="120"/>
              <w:spacing w:after="0"/>
              <w:rPr>
                <w:sz w:val="20"/>
                <w:szCs w:val="20"/>
                <w:color w:val="auto"/>
              </w:rPr>
            </w:pPr>
            <w:r>
              <w:rPr>
                <w:rFonts w:ascii="Arial" w:cs="Arial" w:eastAsia="Arial" w:hAnsi="Arial"/>
                <w:sz w:val="18"/>
                <w:szCs w:val="18"/>
                <w:color w:val="auto"/>
              </w:rPr>
              <w:t>(8,878)</w:t>
            </w:r>
          </w:p>
        </w:tc>
        <w:tc>
          <w:tcPr>
            <w:tcW w:w="480" w:type="dxa"/>
            <w:vAlign w:val="bottom"/>
          </w:tcPr>
          <w:p>
            <w:pPr>
              <w:jc w:val="right"/>
              <w:spacing w:after="0"/>
              <w:rPr>
                <w:sz w:val="20"/>
                <w:szCs w:val="20"/>
                <w:color w:val="auto"/>
              </w:rPr>
            </w:pPr>
            <w:r>
              <w:rPr>
                <w:rFonts w:ascii="Arial" w:cs="Arial" w:eastAsia="Arial" w:hAnsi="Arial"/>
                <w:sz w:val="18"/>
                <w:szCs w:val="18"/>
                <w:color w:val="auto"/>
              </w:rPr>
              <w:t>6F</w:t>
            </w: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w w:val="98"/>
              </w:rPr>
              <w:t>155,943</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504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480" w:type="dxa"/>
            <w:vAlign w:val="bottom"/>
          </w:tcPr>
          <w:p>
            <w:pPr>
              <w:spacing w:after="0"/>
              <w:rPr>
                <w:sz w:val="2"/>
                <w:szCs w:val="2"/>
                <w:color w:val="auto"/>
              </w:rPr>
            </w:pPr>
          </w:p>
        </w:tc>
        <w:tc>
          <w:tcPr>
            <w:tcW w:w="18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560" w:type="dxa"/>
            <w:vAlign w:val="bottom"/>
          </w:tcPr>
          <w:p>
            <w:pPr>
              <w:spacing w:after="0"/>
              <w:rPr>
                <w:sz w:val="2"/>
                <w:szCs w:val="2"/>
                <w:color w:val="auto"/>
              </w:rPr>
            </w:pPr>
          </w:p>
        </w:tc>
        <w:tc>
          <w:tcPr>
            <w:tcW w:w="16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5040" w:type="dxa"/>
            <w:vAlign w:val="bottom"/>
            <w:shd w:val="clear" w:color="auto" w:fill="CCEEFF"/>
          </w:tcPr>
          <w:p>
            <w:pPr>
              <w:ind w:left="260"/>
              <w:spacing w:after="0"/>
              <w:rPr>
                <w:sz w:val="20"/>
                <w:szCs w:val="20"/>
                <w:color w:val="auto"/>
              </w:rPr>
            </w:pPr>
            <w:r>
              <w:rPr>
                <w:rFonts w:ascii="Arial" w:cs="Arial" w:eastAsia="Arial" w:hAnsi="Arial"/>
                <w:sz w:val="18"/>
                <w:szCs w:val="18"/>
                <w:b w:val="1"/>
                <w:bCs w:val="1"/>
                <w:color w:val="auto"/>
              </w:rPr>
              <w:t>Total current liabilities</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189,985</w:t>
            </w: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38,514</w:t>
            </w: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(8,878)</w:t>
            </w:r>
          </w:p>
        </w:tc>
        <w:tc>
          <w:tcPr>
            <w:tcW w:w="4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6,250</w:t>
            </w:r>
          </w:p>
        </w:tc>
        <w:tc>
          <w:tcPr>
            <w:tcW w:w="18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225,871</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40" w:type="dxa"/>
            <w:vAlign w:val="bottom"/>
          </w:tcPr>
          <w:p>
            <w:pPr>
              <w:spacing w:after="0"/>
              <w:rPr>
                <w:sz w:val="20"/>
                <w:szCs w:val="20"/>
                <w:color w:val="auto"/>
              </w:rPr>
            </w:pPr>
            <w:r>
              <w:rPr>
                <w:rFonts w:ascii="Arial" w:cs="Arial" w:eastAsia="Arial" w:hAnsi="Arial"/>
                <w:sz w:val="18"/>
                <w:szCs w:val="18"/>
                <w:color w:val="auto"/>
              </w:rPr>
              <w:t>Long-term debt</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4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165,923</w:t>
            </w:r>
          </w:p>
        </w:tc>
        <w:tc>
          <w:tcPr>
            <w:tcW w:w="18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6E</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w w:val="98"/>
              </w:rPr>
              <w:t>165,923</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504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Non-current liabilities</w:t>
            </w:r>
          </w:p>
        </w:tc>
        <w:tc>
          <w:tcPr>
            <w:tcW w:w="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480" w:type="dxa"/>
            <w:vAlign w:val="bottom"/>
            <w:shd w:val="clear" w:color="auto" w:fill="CCEEFF"/>
          </w:tcPr>
          <w:p>
            <w:pPr>
              <w:jc w:val="right"/>
              <w:spacing w:after="0" w:line="201" w:lineRule="exact"/>
              <w:rPr>
                <w:sz w:val="20"/>
                <w:szCs w:val="20"/>
                <w:color w:val="auto"/>
              </w:rPr>
            </w:pPr>
            <w:r>
              <w:rPr>
                <w:rFonts w:ascii="Arial" w:cs="Arial" w:eastAsia="Arial" w:hAnsi="Arial"/>
                <w:sz w:val="18"/>
                <w:szCs w:val="18"/>
                <w:color w:val="auto"/>
              </w:rPr>
              <w:t>6D,</w:t>
            </w:r>
          </w:p>
        </w:tc>
        <w:tc>
          <w:tcPr>
            <w:tcW w:w="1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6H,</w:t>
            </w: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504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100" w:type="dxa"/>
            <w:vAlign w:val="bottom"/>
            <w:tcBorders>
              <w:bottom w:val="single" w:sz="8" w:color="auto"/>
            </w:tcBorders>
            <w:shd w:val="clear" w:color="auto" w:fill="CCEEFF"/>
          </w:tcPr>
          <w:p>
            <w:pPr>
              <w:spacing w:after="0"/>
              <w:rPr>
                <w:sz w:val="20"/>
                <w:szCs w:val="20"/>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11,939</w:t>
            </w:r>
          </w:p>
        </w:tc>
        <w:tc>
          <w:tcPr>
            <w:tcW w:w="10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80" w:type="dxa"/>
            <w:vAlign w:val="bottom"/>
            <w:tcBorders>
              <w:bottom w:val="single" w:sz="8" w:color="auto"/>
            </w:tcBorders>
            <w:shd w:val="clear" w:color="auto" w:fill="CCEEFF"/>
          </w:tcPr>
          <w:p>
            <w:pPr>
              <w:spacing w:after="0"/>
              <w:rPr>
                <w:sz w:val="20"/>
                <w:szCs w:val="20"/>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2,635</w:t>
            </w:r>
          </w:p>
        </w:tc>
        <w:tc>
          <w:tcPr>
            <w:tcW w:w="10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00" w:type="dxa"/>
            <w:vAlign w:val="bottom"/>
            <w:tcBorders>
              <w:bottom w:val="single" w:sz="8" w:color="auto"/>
            </w:tcBorders>
            <w:shd w:val="clear" w:color="auto" w:fill="CCEEFF"/>
          </w:tcPr>
          <w:p>
            <w:pPr>
              <w:spacing w:after="0"/>
              <w:rPr>
                <w:sz w:val="20"/>
                <w:szCs w:val="20"/>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23,382</w:t>
            </w:r>
          </w:p>
        </w:tc>
        <w:tc>
          <w:tcPr>
            <w:tcW w:w="180" w:type="dxa"/>
            <w:vAlign w:val="bottom"/>
            <w:shd w:val="clear" w:color="auto" w:fill="CCEEFF"/>
          </w:tcPr>
          <w:p>
            <w:pPr>
              <w:spacing w:after="0"/>
              <w:rPr>
                <w:sz w:val="20"/>
                <w:szCs w:val="20"/>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1"/>
              </w:rPr>
              <w:t>6F, 6J</w:t>
            </w:r>
          </w:p>
        </w:tc>
        <w:tc>
          <w:tcPr>
            <w:tcW w:w="180" w:type="dxa"/>
            <w:vAlign w:val="bottom"/>
            <w:shd w:val="clear" w:color="auto" w:fill="CCEEFF"/>
          </w:tcPr>
          <w:p>
            <w:pPr>
              <w:spacing w:after="0"/>
              <w:rPr>
                <w:sz w:val="20"/>
                <w:szCs w:val="20"/>
                <w:color w:val="auto"/>
              </w:rPr>
            </w:pPr>
          </w:p>
        </w:tc>
        <w:tc>
          <w:tcPr>
            <w:tcW w:w="80" w:type="dxa"/>
            <w:vAlign w:val="bottom"/>
            <w:tcBorders>
              <w:bottom w:val="single" w:sz="8" w:color="auto"/>
            </w:tcBorders>
            <w:shd w:val="clear" w:color="auto" w:fill="CCEEFF"/>
          </w:tcPr>
          <w:p>
            <w:pPr>
              <w:spacing w:after="0"/>
              <w:rPr>
                <w:sz w:val="20"/>
                <w:szCs w:val="20"/>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20"/>
                <w:szCs w:val="20"/>
                <w:color w:val="auto"/>
              </w:rPr>
            </w:pPr>
          </w:p>
        </w:tc>
        <w:tc>
          <w:tcPr>
            <w:tcW w:w="56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80" w:type="dxa"/>
            <w:vAlign w:val="bottom"/>
            <w:tcBorders>
              <w:bottom w:val="single" w:sz="8" w:color="auto"/>
            </w:tcBorders>
            <w:shd w:val="clear" w:color="auto" w:fill="CCEEFF"/>
          </w:tcPr>
          <w:p>
            <w:pPr>
              <w:spacing w:after="0"/>
              <w:rPr>
                <w:sz w:val="20"/>
                <w:szCs w:val="20"/>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37,956</w:t>
            </w:r>
          </w:p>
        </w:tc>
        <w:tc>
          <w:tcPr>
            <w:tcW w:w="12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5040" w:type="dxa"/>
            <w:vAlign w:val="bottom"/>
          </w:tcPr>
          <w:p>
            <w:pPr>
              <w:ind w:left="340"/>
              <w:spacing w:after="0"/>
              <w:rPr>
                <w:sz w:val="20"/>
                <w:szCs w:val="20"/>
                <w:color w:val="auto"/>
              </w:rPr>
            </w:pPr>
            <w:r>
              <w:rPr>
                <w:rFonts w:ascii="Arial" w:cs="Arial" w:eastAsia="Arial" w:hAnsi="Arial"/>
                <w:sz w:val="18"/>
                <w:szCs w:val="18"/>
                <w:b w:val="1"/>
                <w:bCs w:val="1"/>
                <w:color w:val="auto"/>
              </w:rPr>
              <w:t>Total liabilities</w:t>
            </w:r>
          </w:p>
        </w:tc>
        <w:tc>
          <w:tcPr>
            <w:tcW w:w="6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5"/>
              </w:rPr>
              <w:t>201,924</w:t>
            </w:r>
          </w:p>
        </w:tc>
        <w:tc>
          <w:tcPr>
            <w:tcW w:w="1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8"/>
              </w:rPr>
              <w:t>41,149</w:t>
            </w: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14,504</w:t>
            </w:r>
          </w:p>
        </w:tc>
        <w:tc>
          <w:tcPr>
            <w:tcW w:w="18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172,173</w:t>
            </w:r>
          </w:p>
        </w:tc>
        <w:tc>
          <w:tcPr>
            <w:tcW w:w="18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8"/>
              </w:rPr>
              <w:t>429,750</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40" w:type="dxa"/>
            <w:vAlign w:val="bottom"/>
            <w:shd w:val="clear" w:color="auto" w:fill="CCEEFF"/>
          </w:tcPr>
          <w:p>
            <w:pPr>
              <w:spacing w:after="0"/>
              <w:rPr>
                <w:sz w:val="20"/>
                <w:szCs w:val="20"/>
                <w:color w:val="auto"/>
              </w:rPr>
            </w:pPr>
            <w:r>
              <w:rPr>
                <w:rFonts w:ascii="Arial" w:cs="Arial" w:eastAsia="Arial" w:hAnsi="Arial"/>
                <w:sz w:val="18"/>
                <w:szCs w:val="18"/>
                <w:color w:val="auto"/>
              </w:rPr>
              <w:t>Convertible preferred stock</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81,631</w:t>
            </w: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(81,631)</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6I</w:t>
            </w: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5060" w:type="dxa"/>
            <w:vAlign w:val="bottom"/>
            <w:gridSpan w:val="2"/>
          </w:tcPr>
          <w:p>
            <w:pPr>
              <w:spacing w:after="0"/>
              <w:rPr>
                <w:sz w:val="20"/>
                <w:szCs w:val="20"/>
                <w:color w:val="auto"/>
              </w:rPr>
            </w:pPr>
            <w:r>
              <w:rPr>
                <w:rFonts w:ascii="Arial" w:cs="Arial" w:eastAsia="Arial" w:hAnsi="Arial"/>
                <w:sz w:val="18"/>
                <w:szCs w:val="18"/>
                <w:b w:val="1"/>
                <w:bCs w:val="1"/>
                <w:color w:val="auto"/>
              </w:rPr>
              <w:t>Stockholders’ Equity</w:t>
            </w:r>
          </w:p>
        </w:tc>
        <w:tc>
          <w:tcPr>
            <w:tcW w:w="6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66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58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680" w:type="dxa"/>
            <w:vAlign w:val="bottom"/>
            <w:tcBorders>
              <w:top w:val="single" w:sz="8" w:color="auto"/>
            </w:tcBorders>
          </w:tcPr>
          <w:p>
            <w:pPr>
              <w:spacing w:after="0"/>
              <w:rPr>
                <w:sz w:val="19"/>
                <w:szCs w:val="19"/>
                <w:color w:val="auto"/>
              </w:rPr>
            </w:pPr>
          </w:p>
        </w:tc>
        <w:tc>
          <w:tcPr>
            <w:tcW w:w="180" w:type="dxa"/>
            <w:vAlign w:val="bottom"/>
          </w:tcPr>
          <w:p>
            <w:pPr>
              <w:spacing w:after="0"/>
              <w:rPr>
                <w:sz w:val="19"/>
                <w:szCs w:val="19"/>
                <w:color w:val="auto"/>
              </w:rPr>
            </w:pPr>
          </w:p>
        </w:tc>
        <w:tc>
          <w:tcPr>
            <w:tcW w:w="480" w:type="dxa"/>
            <w:vAlign w:val="bottom"/>
            <w:tcBorders>
              <w:top w:val="single" w:sz="8" w:color="auto"/>
            </w:tcBorders>
          </w:tcPr>
          <w:p>
            <w:pPr>
              <w:spacing w:after="0"/>
              <w:rPr>
                <w:sz w:val="19"/>
                <w:szCs w:val="19"/>
                <w:color w:val="auto"/>
              </w:rPr>
            </w:pPr>
          </w:p>
        </w:tc>
        <w:tc>
          <w:tcPr>
            <w:tcW w:w="18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700" w:type="dxa"/>
            <w:vAlign w:val="bottom"/>
            <w:tcBorders>
              <w:top w:val="single" w:sz="8" w:color="auto"/>
            </w:tcBorders>
          </w:tcPr>
          <w:p>
            <w:pPr>
              <w:spacing w:after="0"/>
              <w:rPr>
                <w:sz w:val="19"/>
                <w:szCs w:val="19"/>
                <w:color w:val="auto"/>
              </w:rPr>
            </w:pPr>
          </w:p>
        </w:tc>
        <w:tc>
          <w:tcPr>
            <w:tcW w:w="180" w:type="dxa"/>
            <w:vAlign w:val="bottom"/>
          </w:tcPr>
          <w:p>
            <w:pPr>
              <w:spacing w:after="0"/>
              <w:rPr>
                <w:sz w:val="19"/>
                <w:szCs w:val="19"/>
                <w:color w:val="auto"/>
              </w:rPr>
            </w:pPr>
          </w:p>
        </w:tc>
        <w:tc>
          <w:tcPr>
            <w:tcW w:w="560" w:type="dxa"/>
            <w:vAlign w:val="bottom"/>
            <w:tcBorders>
              <w:top w:val="single" w:sz="8" w:color="auto"/>
            </w:tcBorders>
          </w:tcPr>
          <w:p>
            <w:pPr>
              <w:spacing w:after="0"/>
              <w:rPr>
                <w:sz w:val="19"/>
                <w:szCs w:val="19"/>
                <w:color w:val="auto"/>
              </w:rPr>
            </w:pPr>
          </w:p>
        </w:tc>
        <w:tc>
          <w:tcPr>
            <w:tcW w:w="16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66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40" w:type="dxa"/>
            <w:vAlign w:val="bottom"/>
            <w:shd w:val="clear" w:color="auto" w:fill="CCEEFF"/>
          </w:tcPr>
          <w:p>
            <w:pPr>
              <w:spacing w:after="0"/>
              <w:rPr>
                <w:sz w:val="20"/>
                <w:szCs w:val="20"/>
                <w:color w:val="auto"/>
              </w:rPr>
            </w:pPr>
            <w:r>
              <w:rPr>
                <w:rFonts w:ascii="Arial" w:cs="Arial" w:eastAsia="Arial" w:hAnsi="Arial"/>
                <w:sz w:val="18"/>
                <w:szCs w:val="18"/>
                <w:color w:val="auto"/>
              </w:rPr>
              <w:t>Common stock</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230</w:t>
            </w: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w:t>
            </w: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(31)</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6I</w:t>
            </w: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230</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40" w:type="dxa"/>
            <w:vAlign w:val="bottom"/>
          </w:tcPr>
          <w:p>
            <w:pPr>
              <w:spacing w:after="0"/>
              <w:rPr>
                <w:sz w:val="20"/>
                <w:szCs w:val="20"/>
                <w:color w:val="auto"/>
              </w:rPr>
            </w:pPr>
            <w:r>
              <w:rPr>
                <w:rFonts w:ascii="Arial" w:cs="Arial" w:eastAsia="Arial" w:hAnsi="Arial"/>
                <w:sz w:val="18"/>
                <w:szCs w:val="18"/>
                <w:color w:val="auto"/>
              </w:rPr>
              <w:t>Additional paid-in capital</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w w:val="95"/>
              </w:rPr>
              <w:t>200,696</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4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w w:val="98"/>
              </w:rPr>
              <w:t>200,696</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40" w:type="dxa"/>
            <w:vAlign w:val="bottom"/>
            <w:shd w:val="clear" w:color="auto" w:fill="CCEEFF"/>
          </w:tcPr>
          <w:p>
            <w:pPr>
              <w:spacing w:after="0"/>
              <w:rPr>
                <w:sz w:val="20"/>
                <w:szCs w:val="20"/>
                <w:color w:val="auto"/>
              </w:rPr>
            </w:pPr>
            <w:r>
              <w:rPr>
                <w:rFonts w:ascii="Arial" w:cs="Arial" w:eastAsia="Arial" w:hAnsi="Arial"/>
                <w:sz w:val="18"/>
                <w:szCs w:val="18"/>
                <w:color w:val="auto"/>
              </w:rPr>
              <w:t>Retained earnings</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127,717</w:t>
            </w: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89"/>
              </w:rPr>
              <w:t>(95,324)</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93,699</w:t>
            </w:r>
          </w:p>
        </w:tc>
        <w:tc>
          <w:tcPr>
            <w:tcW w:w="18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6I</w:t>
            </w: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126,092</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40" w:type="dxa"/>
            <w:vAlign w:val="bottom"/>
          </w:tcPr>
          <w:p>
            <w:pPr>
              <w:spacing w:after="0"/>
              <w:rPr>
                <w:sz w:val="20"/>
                <w:szCs w:val="20"/>
                <w:color w:val="auto"/>
              </w:rPr>
            </w:pPr>
            <w:r>
              <w:rPr>
                <w:rFonts w:ascii="Arial" w:cs="Arial" w:eastAsia="Arial" w:hAnsi="Arial"/>
                <w:sz w:val="18"/>
                <w:szCs w:val="18"/>
                <w:color w:val="auto"/>
              </w:rPr>
              <w:t>Treasury stock</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2"/>
          </w:tcPr>
          <w:p>
            <w:pPr>
              <w:jc w:val="right"/>
              <w:ind w:right="60"/>
              <w:spacing w:after="0"/>
              <w:rPr>
                <w:sz w:val="20"/>
                <w:szCs w:val="20"/>
                <w:color w:val="auto"/>
              </w:rPr>
            </w:pPr>
            <w:r>
              <w:rPr>
                <w:rFonts w:ascii="Arial" w:cs="Arial" w:eastAsia="Arial" w:hAnsi="Arial"/>
                <w:sz w:val="18"/>
                <w:szCs w:val="18"/>
                <w:color w:val="auto"/>
                <w:w w:val="88"/>
              </w:rPr>
              <w:t>(171,889)</w:t>
            </w: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4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80" w:type="dxa"/>
            <w:vAlign w:val="bottom"/>
            <w:gridSpan w:val="2"/>
          </w:tcPr>
          <w:p>
            <w:pPr>
              <w:jc w:val="right"/>
              <w:ind w:right="60"/>
              <w:spacing w:after="0"/>
              <w:rPr>
                <w:sz w:val="20"/>
                <w:szCs w:val="20"/>
                <w:color w:val="auto"/>
              </w:rPr>
            </w:pPr>
            <w:r>
              <w:rPr>
                <w:rFonts w:ascii="Arial" w:cs="Arial" w:eastAsia="Arial" w:hAnsi="Arial"/>
                <w:sz w:val="18"/>
                <w:szCs w:val="18"/>
                <w:color w:val="auto"/>
                <w:w w:val="90"/>
              </w:rPr>
              <w:t>(171,889)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40" w:type="dxa"/>
            <w:vAlign w:val="bottom"/>
            <w:shd w:val="clear" w:color="auto" w:fill="CCEEFF"/>
          </w:tcPr>
          <w:p>
            <w:pPr>
              <w:spacing w:after="0"/>
              <w:rPr>
                <w:sz w:val="20"/>
                <w:szCs w:val="20"/>
                <w:color w:val="auto"/>
              </w:rPr>
            </w:pPr>
            <w:r>
              <w:rPr>
                <w:rFonts w:ascii="Arial" w:cs="Arial" w:eastAsia="Arial" w:hAnsi="Arial"/>
                <w:sz w:val="18"/>
                <w:szCs w:val="18"/>
                <w:color w:val="auto"/>
              </w:rPr>
              <w:t>Accumulated other comprehensive income (loss)</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(5,154)</w:t>
            </w: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112</w:t>
            </w: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(112)</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6I</w:t>
            </w: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(5,154)</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5040" w:type="dxa"/>
            <w:vAlign w:val="bottom"/>
          </w:tcPr>
          <w:p>
            <w:pPr>
              <w:ind w:left="240"/>
              <w:spacing w:after="0"/>
              <w:rPr>
                <w:sz w:val="20"/>
                <w:szCs w:val="20"/>
                <w:color w:val="auto"/>
              </w:rPr>
            </w:pPr>
            <w:r>
              <w:rPr>
                <w:rFonts w:ascii="Arial" w:cs="Arial" w:eastAsia="Arial" w:hAnsi="Arial"/>
                <w:sz w:val="18"/>
                <w:szCs w:val="18"/>
                <w:b w:val="1"/>
                <w:bCs w:val="1"/>
                <w:color w:val="auto"/>
              </w:rPr>
              <w:t>Total stockholders’ equity (deficit)</w:t>
            </w:r>
          </w:p>
        </w:tc>
        <w:tc>
          <w:tcPr>
            <w:tcW w:w="6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5"/>
              </w:rPr>
              <w:t>151,600</w:t>
            </w:r>
          </w:p>
        </w:tc>
        <w:tc>
          <w:tcPr>
            <w:tcW w:w="1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80" w:type="dxa"/>
            <w:vAlign w:val="bottom"/>
            <w:tcBorders>
              <w:top w:val="single" w:sz="8" w:color="auto"/>
              <w:bottom w:val="single" w:sz="8" w:color="auto"/>
            </w:tcBorders>
          </w:tcPr>
          <w:p>
            <w:pPr>
              <w:spacing w:after="0"/>
              <w:rPr>
                <w:sz w:val="20"/>
                <w:szCs w:val="20"/>
                <w:color w:val="auto"/>
              </w:rPr>
            </w:pP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8"/>
              </w:rPr>
              <w:t>(95,181</w:t>
            </w:r>
          </w:p>
        </w:tc>
        <w:tc>
          <w:tcPr>
            <w:tcW w:w="100" w:type="dxa"/>
            <w:vAlign w:val="bottom"/>
          </w:tcPr>
          <w:p>
            <w:pPr>
              <w:jc w:val="right"/>
              <w:ind w:right="20"/>
              <w:spacing w:after="0"/>
              <w:rPr>
                <w:sz w:val="20"/>
                <w:szCs w:val="20"/>
                <w:color w:val="auto"/>
              </w:rPr>
            </w:pPr>
            <w:r>
              <w:rPr>
                <w:rFonts w:ascii="Arial" w:cs="Arial" w:eastAsia="Arial" w:hAnsi="Arial"/>
                <w:sz w:val="8"/>
                <w:szCs w:val="8"/>
                <w:color w:val="auto"/>
                <w:w w:val="73"/>
              </w:rPr>
              <w:t>)</w:t>
            </w:r>
          </w:p>
        </w:tc>
        <w:tc>
          <w:tcPr>
            <w:tcW w:w="8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93,556</w:t>
            </w:r>
          </w:p>
        </w:tc>
        <w:tc>
          <w:tcPr>
            <w:tcW w:w="18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0" w:type="dxa"/>
            <w:vAlign w:val="bottom"/>
            <w:tcBorders>
              <w:top w:val="single" w:sz="8" w:color="auto"/>
              <w:bottom w:val="single" w:sz="8" w:color="auto"/>
            </w:tcBorders>
          </w:tcPr>
          <w:p>
            <w:pPr>
              <w:spacing w:after="0"/>
              <w:rPr>
                <w:sz w:val="20"/>
                <w:szCs w:val="20"/>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0" w:type="dxa"/>
            <w:vAlign w:val="bottom"/>
            <w:tcBorders>
              <w:top w:val="single" w:sz="8" w:color="auto"/>
              <w:bottom w:val="single" w:sz="8" w:color="auto"/>
            </w:tcBorders>
          </w:tcPr>
          <w:p>
            <w:pPr>
              <w:spacing w:after="0"/>
              <w:rPr>
                <w:sz w:val="20"/>
                <w:szCs w:val="20"/>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8"/>
              </w:rPr>
              <w:t>149,975</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5040" w:type="dxa"/>
            <w:vAlign w:val="bottom"/>
            <w:shd w:val="clear" w:color="auto" w:fill="CCEEFF"/>
          </w:tcPr>
          <w:p>
            <w:pPr>
              <w:ind w:left="260"/>
              <w:spacing w:after="0" w:line="198" w:lineRule="exact"/>
              <w:rPr>
                <w:sz w:val="20"/>
                <w:szCs w:val="20"/>
                <w:color w:val="auto"/>
              </w:rPr>
            </w:pPr>
            <w:r>
              <w:rPr>
                <w:rFonts w:ascii="Arial" w:cs="Arial" w:eastAsia="Arial" w:hAnsi="Arial"/>
                <w:sz w:val="18"/>
                <w:szCs w:val="18"/>
                <w:b w:val="1"/>
                <w:bCs w:val="1"/>
                <w:color w:val="auto"/>
                <w:w w:val="90"/>
              </w:rPr>
              <w:t>Total liabilities, convertible preferred stock and stockholders’</w:t>
            </w:r>
          </w:p>
        </w:tc>
        <w:tc>
          <w:tcPr>
            <w:tcW w:w="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5040" w:type="dxa"/>
            <w:vAlign w:val="bottom"/>
            <w:shd w:val="clear" w:color="auto" w:fill="CCEEFF"/>
          </w:tcPr>
          <w:p>
            <w:pPr>
              <w:ind w:left="80"/>
              <w:spacing w:after="0"/>
              <w:rPr>
                <w:sz w:val="20"/>
                <w:szCs w:val="20"/>
                <w:color w:val="auto"/>
              </w:rPr>
            </w:pPr>
            <w:r>
              <w:rPr>
                <w:rFonts w:ascii="Arial" w:cs="Arial" w:eastAsia="Arial" w:hAnsi="Arial"/>
                <w:sz w:val="18"/>
                <w:szCs w:val="18"/>
                <w:b w:val="1"/>
                <w:bCs w:val="1"/>
                <w:color w:val="auto"/>
              </w:rPr>
              <w:t>equity</w:t>
            </w:r>
          </w:p>
        </w:tc>
        <w:tc>
          <w:tcPr>
            <w:tcW w:w="16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95"/>
              </w:rPr>
              <w:t>353,524</w:t>
            </w:r>
          </w:p>
        </w:tc>
        <w:tc>
          <w:tcPr>
            <w:tcW w:w="100" w:type="dxa"/>
            <w:vAlign w:val="bottom"/>
            <w:shd w:val="clear" w:color="auto" w:fill="CCEEFF"/>
          </w:tcPr>
          <w:p>
            <w:pPr>
              <w:spacing w:after="0"/>
              <w:rPr>
                <w:sz w:val="20"/>
                <w:szCs w:val="20"/>
                <w:color w:val="auto"/>
              </w:rPr>
            </w:pPr>
          </w:p>
        </w:tc>
        <w:tc>
          <w:tcPr>
            <w:tcW w:w="14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98"/>
              </w:rPr>
              <w:t>27,599</w:t>
            </w:r>
          </w:p>
        </w:tc>
        <w:tc>
          <w:tcPr>
            <w:tcW w:w="100" w:type="dxa"/>
            <w:vAlign w:val="bottom"/>
            <w:shd w:val="clear" w:color="auto" w:fill="CCEEFF"/>
          </w:tcPr>
          <w:p>
            <w:pPr>
              <w:spacing w:after="0"/>
              <w:rPr>
                <w:sz w:val="20"/>
                <w:szCs w:val="20"/>
                <w:color w:val="auto"/>
              </w:rPr>
            </w:pPr>
          </w:p>
        </w:tc>
        <w:tc>
          <w:tcPr>
            <w:tcW w:w="18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26,429</w:t>
            </w:r>
          </w:p>
        </w:tc>
        <w:tc>
          <w:tcPr>
            <w:tcW w:w="180" w:type="dxa"/>
            <w:vAlign w:val="bottom"/>
            <w:shd w:val="clear" w:color="auto" w:fill="CCEEFF"/>
          </w:tcPr>
          <w:p>
            <w:pPr>
              <w:spacing w:after="0"/>
              <w:rPr>
                <w:sz w:val="20"/>
                <w:szCs w:val="20"/>
                <w:color w:val="auto"/>
              </w:rPr>
            </w:pPr>
          </w:p>
        </w:tc>
        <w:tc>
          <w:tcPr>
            <w:tcW w:w="480" w:type="dxa"/>
            <w:vAlign w:val="bottom"/>
            <w:shd w:val="clear" w:color="auto" w:fill="CCEEFF"/>
          </w:tcPr>
          <w:p>
            <w:pPr>
              <w:spacing w:after="0"/>
              <w:rPr>
                <w:sz w:val="20"/>
                <w:szCs w:val="20"/>
                <w:color w:val="auto"/>
              </w:rPr>
            </w:pP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172,173</w:t>
            </w:r>
          </w:p>
        </w:tc>
        <w:tc>
          <w:tcPr>
            <w:tcW w:w="180" w:type="dxa"/>
            <w:vAlign w:val="bottom"/>
            <w:shd w:val="clear" w:color="auto" w:fill="CCEEFF"/>
          </w:tcPr>
          <w:p>
            <w:pPr>
              <w:spacing w:after="0"/>
              <w:rPr>
                <w:sz w:val="20"/>
                <w:szCs w:val="20"/>
                <w:color w:val="auto"/>
              </w:rPr>
            </w:pPr>
          </w:p>
        </w:tc>
        <w:tc>
          <w:tcPr>
            <w:tcW w:w="560" w:type="dxa"/>
            <w:vAlign w:val="bottom"/>
            <w:shd w:val="clear" w:color="auto" w:fill="CCEEFF"/>
          </w:tcPr>
          <w:p>
            <w:pPr>
              <w:spacing w:after="0"/>
              <w:rPr>
                <w:sz w:val="20"/>
                <w:szCs w:val="20"/>
                <w:color w:val="auto"/>
              </w:rPr>
            </w:pP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98"/>
              </w:rPr>
              <w:t>579,725</w:t>
            </w:r>
          </w:p>
        </w:tc>
        <w:tc>
          <w:tcPr>
            <w:tcW w:w="12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0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20" w:type="dxa"/>
            <w:vAlign w:val="bottom"/>
          </w:tcPr>
          <w:p>
            <w:pPr>
              <w:spacing w:after="0"/>
              <w:rPr>
                <w:sz w:val="24"/>
                <w:szCs w:val="24"/>
                <w:color w:val="auto"/>
              </w:rPr>
            </w:pPr>
          </w:p>
        </w:tc>
        <w:tc>
          <w:tcPr>
            <w:tcW w:w="50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60" w:type="dxa"/>
            <w:vAlign w:val="bottom"/>
          </w:tcPr>
          <w:p>
            <w:pPr>
              <w:jc w:val="center"/>
              <w:spacing w:after="0"/>
              <w:rPr>
                <w:sz w:val="20"/>
                <w:szCs w:val="20"/>
                <w:color w:val="auto"/>
              </w:rPr>
            </w:pPr>
            <w:r>
              <w:rPr>
                <w:rFonts w:ascii="Arial" w:cs="Arial" w:eastAsia="Arial" w:hAnsi="Arial"/>
                <w:sz w:val="18"/>
                <w:szCs w:val="18"/>
                <w:color w:val="auto"/>
                <w:w w:val="99"/>
              </w:rPr>
              <w:t>3</w:t>
            </w: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040"/>
          </w:cols>
          <w:pgMar w:left="440" w:top="270" w:right="419" w:bottom="1440" w:gutter="0" w:footer="0" w:header="0"/>
        </w:sectPr>
      </w:pPr>
    </w:p>
    <w:bookmarkStart w:id="37" w:name="page38"/>
    <w:bookmarkEnd w:id="37"/>
    <w:p>
      <w:pPr>
        <w:jc w:val="center"/>
        <w:ind w:right="2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289165" cy="38735"/>
                    </a:xfrm>
                    <a:prstGeom prst="rect">
                      <a:avLst/>
                    </a:prstGeom>
                    <a:noFill/>
                  </pic:spPr>
                </pic:pic>
              </a:graphicData>
            </a:graphic>
          </wp:anchor>
        </w:drawing>
        <w:t>Forrester Research, Inc.</w:t>
      </w:r>
    </w:p>
    <w:p>
      <w:pPr>
        <w:spacing w:after="0" w:line="27"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Unaudited Pro Forma Combined Statement of Operations</w:t>
      </w:r>
    </w:p>
    <w:p>
      <w:pPr>
        <w:spacing w:after="0" w:line="9"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For the Year Ended December 31, 2018</w:t>
      </w:r>
    </w:p>
    <w:p>
      <w:pPr>
        <w:spacing w:after="0" w:line="9" w:lineRule="exact"/>
        <w:rPr>
          <w:sz w:val="20"/>
          <w:szCs w:val="20"/>
          <w:color w:val="auto"/>
        </w:rPr>
      </w:pPr>
    </w:p>
    <w:p>
      <w:pPr>
        <w:jc w:val="center"/>
        <w:ind w:right="20"/>
        <w:spacing w:after="0"/>
        <w:rPr>
          <w:sz w:val="20"/>
          <w:szCs w:val="20"/>
          <w:color w:val="auto"/>
        </w:rPr>
      </w:pPr>
      <w:r>
        <w:rPr>
          <w:rFonts w:ascii="Arial" w:cs="Arial" w:eastAsia="Arial" w:hAnsi="Arial"/>
          <w:sz w:val="18"/>
          <w:szCs w:val="18"/>
          <w:i w:val="1"/>
          <w:iCs w:val="1"/>
          <w:color w:val="auto"/>
        </w:rPr>
        <w:t>(amounts in thousands, except per share data)</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4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680" w:type="dxa"/>
            <w:vAlign w:val="bottom"/>
            <w:gridSpan w:val="2"/>
            <w:vMerge w:val="restart"/>
          </w:tcPr>
          <w:p>
            <w:pPr>
              <w:jc w:val="center"/>
              <w:spacing w:after="0"/>
              <w:rPr>
                <w:sz w:val="20"/>
                <w:szCs w:val="20"/>
                <w:color w:val="auto"/>
              </w:rPr>
            </w:pPr>
            <w:r>
              <w:rPr>
                <w:rFonts w:ascii="Arial" w:cs="Arial" w:eastAsia="Arial" w:hAnsi="Arial"/>
                <w:sz w:val="14"/>
                <w:szCs w:val="14"/>
                <w:b w:val="1"/>
                <w:bCs w:val="1"/>
                <w:color w:val="auto"/>
                <w:w w:val="97"/>
              </w:rPr>
              <w:t>Historical</w:t>
            </w:r>
          </w:p>
        </w:tc>
        <w:tc>
          <w:tcPr>
            <w:tcW w:w="980" w:type="dxa"/>
            <w:vAlign w:val="bottom"/>
            <w:gridSpan w:val="4"/>
          </w:tcPr>
          <w:p>
            <w:pPr>
              <w:jc w:val="center"/>
              <w:spacing w:after="0"/>
              <w:rPr>
                <w:sz w:val="20"/>
                <w:szCs w:val="20"/>
                <w:color w:val="auto"/>
              </w:rPr>
            </w:pPr>
            <w:r>
              <w:rPr>
                <w:rFonts w:ascii="Arial" w:cs="Arial" w:eastAsia="Arial" w:hAnsi="Arial"/>
                <w:sz w:val="14"/>
                <w:szCs w:val="14"/>
                <w:b w:val="1"/>
                <w:bCs w:val="1"/>
                <w:color w:val="auto"/>
                <w:w w:val="93"/>
              </w:rPr>
              <w:t>Historical</w:t>
            </w: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4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680" w:type="dxa"/>
            <w:vAlign w:val="bottom"/>
            <w:gridSpan w:val="2"/>
            <w:vMerge w:val="continue"/>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92"/>
              </w:rPr>
              <w:t>Sirius</w:t>
            </w: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gridSpan w:val="2"/>
            <w:vMerge w:val="restart"/>
          </w:tcPr>
          <w:p>
            <w:pPr>
              <w:jc w:val="right"/>
              <w:ind w:right="280"/>
              <w:spacing w:after="0"/>
              <w:rPr>
                <w:sz w:val="20"/>
                <w:szCs w:val="20"/>
                <w:color w:val="auto"/>
              </w:rPr>
            </w:pPr>
            <w:r>
              <w:rPr>
                <w:rFonts w:ascii="Arial" w:cs="Arial" w:eastAsia="Arial" w:hAnsi="Arial"/>
                <w:sz w:val="14"/>
                <w:szCs w:val="14"/>
                <w:b w:val="1"/>
                <w:bCs w:val="1"/>
                <w:color w:val="auto"/>
              </w:rPr>
              <w:t>Pro</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4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68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94"/>
              </w:rPr>
              <w:t>Forrester</w:t>
            </w: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89"/>
              </w:rPr>
              <w:t>As</w:t>
            </w:r>
          </w:p>
        </w:tc>
        <w:tc>
          <w:tcPr>
            <w:tcW w:w="100" w:type="dxa"/>
            <w:vAlign w:val="bottom"/>
          </w:tcPr>
          <w:p>
            <w:pPr>
              <w:spacing w:after="0"/>
              <w:rPr>
                <w:sz w:val="12"/>
                <w:szCs w:val="12"/>
                <w:color w:val="auto"/>
              </w:rPr>
            </w:pPr>
          </w:p>
        </w:tc>
        <w:tc>
          <w:tcPr>
            <w:tcW w:w="1060" w:type="dxa"/>
            <w:vAlign w:val="bottom"/>
            <w:gridSpan w:val="3"/>
            <w:vMerge w:val="restart"/>
          </w:tcPr>
          <w:p>
            <w:pPr>
              <w:jc w:val="right"/>
              <w:ind w:right="240"/>
              <w:spacing w:after="0"/>
              <w:rPr>
                <w:sz w:val="20"/>
                <w:szCs w:val="20"/>
                <w:color w:val="auto"/>
              </w:rPr>
            </w:pPr>
            <w:r>
              <w:rPr>
                <w:rFonts w:ascii="Arial" w:cs="Arial" w:eastAsia="Arial" w:hAnsi="Arial"/>
                <w:sz w:val="14"/>
                <w:szCs w:val="14"/>
                <w:b w:val="1"/>
                <w:bCs w:val="1"/>
                <w:color w:val="auto"/>
              </w:rPr>
              <w:t>Pro Forma</w:t>
            </w:r>
          </w:p>
        </w:tc>
        <w:tc>
          <w:tcPr>
            <w:tcW w:w="6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60" w:type="dxa"/>
            <w:vAlign w:val="bottom"/>
            <w:gridSpan w:val="2"/>
            <w:vMerge w:val="restart"/>
          </w:tcPr>
          <w:p>
            <w:pPr>
              <w:jc w:val="right"/>
              <w:ind w:right="180"/>
              <w:spacing w:after="0"/>
              <w:rPr>
                <w:sz w:val="20"/>
                <w:szCs w:val="20"/>
                <w:color w:val="auto"/>
              </w:rPr>
            </w:pPr>
            <w:r>
              <w:rPr>
                <w:rFonts w:ascii="Arial" w:cs="Arial" w:eastAsia="Arial" w:hAnsi="Arial"/>
                <w:sz w:val="14"/>
                <w:szCs w:val="14"/>
                <w:b w:val="1"/>
                <w:bCs w:val="1"/>
                <w:color w:val="auto"/>
                <w:w w:val="87"/>
              </w:rPr>
              <w:t>Financing</w:t>
            </w:r>
          </w:p>
        </w:tc>
        <w:tc>
          <w:tcPr>
            <w:tcW w:w="1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4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9"/>
              </w:rPr>
              <w:t>As</w:t>
            </w:r>
          </w:p>
        </w:tc>
        <w:tc>
          <w:tcPr>
            <w:tcW w:w="220" w:type="dxa"/>
            <w:vAlign w:val="bottom"/>
          </w:tcPr>
          <w:p>
            <w:pPr>
              <w:spacing w:after="0"/>
              <w:rPr>
                <w:sz w:val="12"/>
                <w:szCs w:val="12"/>
                <w:color w:val="auto"/>
              </w:rPr>
            </w:pPr>
          </w:p>
        </w:tc>
        <w:tc>
          <w:tcPr>
            <w:tcW w:w="760" w:type="dxa"/>
            <w:vAlign w:val="bottom"/>
            <w:gridSpan w:val="3"/>
          </w:tcPr>
          <w:p>
            <w:pPr>
              <w:jc w:val="center"/>
              <w:ind w:right="160"/>
              <w:spacing w:after="0" w:line="149" w:lineRule="exact"/>
              <w:rPr>
                <w:sz w:val="20"/>
                <w:szCs w:val="20"/>
                <w:color w:val="auto"/>
              </w:rPr>
            </w:pPr>
            <w:r>
              <w:rPr>
                <w:rFonts w:ascii="Arial" w:cs="Arial" w:eastAsia="Arial" w:hAnsi="Arial"/>
                <w:sz w:val="14"/>
                <w:szCs w:val="14"/>
                <w:b w:val="1"/>
                <w:bCs w:val="1"/>
                <w:color w:val="auto"/>
                <w:w w:val="93"/>
              </w:rPr>
              <w:t>Adjusted</w:t>
            </w:r>
          </w:p>
        </w:tc>
        <w:tc>
          <w:tcPr>
            <w:tcW w:w="100" w:type="dxa"/>
            <w:vAlign w:val="bottom"/>
          </w:tcPr>
          <w:p>
            <w:pPr>
              <w:spacing w:after="0"/>
              <w:rPr>
                <w:sz w:val="12"/>
                <w:szCs w:val="12"/>
                <w:color w:val="auto"/>
              </w:rPr>
            </w:pPr>
          </w:p>
        </w:tc>
        <w:tc>
          <w:tcPr>
            <w:tcW w:w="1060" w:type="dxa"/>
            <w:vAlign w:val="bottom"/>
            <w:gridSpan w:val="3"/>
            <w:vMerge w:val="continue"/>
          </w:tcPr>
          <w:p>
            <w:pPr>
              <w:spacing w:after="0"/>
              <w:rPr>
                <w:sz w:val="12"/>
                <w:szCs w:val="12"/>
                <w:color w:val="auto"/>
              </w:rPr>
            </w:pPr>
          </w:p>
        </w:tc>
        <w:tc>
          <w:tcPr>
            <w:tcW w:w="640" w:type="dxa"/>
            <w:vAlign w:val="bottom"/>
            <w:vMerge w:val="restart"/>
          </w:tcPr>
          <w:p>
            <w:pPr>
              <w:jc w:val="right"/>
              <w:ind w:right="91"/>
              <w:spacing w:after="0"/>
              <w:rPr>
                <w:sz w:val="20"/>
                <w:szCs w:val="20"/>
                <w:color w:val="auto"/>
              </w:rPr>
            </w:pPr>
            <w:r>
              <w:rPr>
                <w:rFonts w:ascii="Arial" w:cs="Arial" w:eastAsia="Arial" w:hAnsi="Arial"/>
                <w:sz w:val="14"/>
                <w:szCs w:val="14"/>
                <w:b w:val="1"/>
                <w:bCs w:val="1"/>
                <w:color w:val="auto"/>
              </w:rPr>
              <w:t>Note</w:t>
            </w: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60" w:type="dxa"/>
            <w:vAlign w:val="bottom"/>
            <w:gridSpan w:val="2"/>
            <w:vMerge w:val="continue"/>
          </w:tcPr>
          <w:p>
            <w:pPr>
              <w:spacing w:after="0"/>
              <w:rPr>
                <w:sz w:val="12"/>
                <w:szCs w:val="12"/>
                <w:color w:val="auto"/>
              </w:rPr>
            </w:pPr>
          </w:p>
        </w:tc>
        <w:tc>
          <w:tcPr>
            <w:tcW w:w="1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gridSpan w:val="2"/>
          </w:tcPr>
          <w:p>
            <w:pPr>
              <w:jc w:val="right"/>
              <w:ind w:right="180"/>
              <w:spacing w:after="0" w:line="149" w:lineRule="exact"/>
              <w:rPr>
                <w:sz w:val="20"/>
                <w:szCs w:val="20"/>
                <w:color w:val="auto"/>
              </w:rPr>
            </w:pPr>
            <w:r>
              <w:rPr>
                <w:rFonts w:ascii="Arial" w:cs="Arial" w:eastAsia="Arial" w:hAnsi="Arial"/>
                <w:sz w:val="14"/>
                <w:szCs w:val="14"/>
                <w:b w:val="1"/>
                <w:bCs w:val="1"/>
                <w:color w:val="auto"/>
              </w:rPr>
              <w:t>Forma</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44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680" w:type="dxa"/>
            <w:vAlign w:val="bottom"/>
            <w:gridSpan w:val="2"/>
          </w:tcPr>
          <w:p>
            <w:pPr>
              <w:jc w:val="center"/>
              <w:spacing w:after="0"/>
              <w:rPr>
                <w:sz w:val="20"/>
                <w:szCs w:val="20"/>
                <w:color w:val="auto"/>
              </w:rPr>
            </w:pPr>
            <w:r>
              <w:rPr>
                <w:rFonts w:ascii="Arial" w:cs="Arial" w:eastAsia="Arial" w:hAnsi="Arial"/>
                <w:sz w:val="14"/>
                <w:szCs w:val="14"/>
                <w:b w:val="1"/>
                <w:bCs w:val="1"/>
                <w:color w:val="auto"/>
                <w:w w:val="94"/>
              </w:rPr>
              <w:t>Reported</w:t>
            </w:r>
          </w:p>
        </w:tc>
        <w:tc>
          <w:tcPr>
            <w:tcW w:w="220" w:type="dxa"/>
            <w:vAlign w:val="bottom"/>
          </w:tcPr>
          <w:p>
            <w:pPr>
              <w:spacing w:after="0"/>
              <w:rPr>
                <w:sz w:val="14"/>
                <w:szCs w:val="14"/>
                <w:color w:val="auto"/>
              </w:rPr>
            </w:pPr>
          </w:p>
        </w:tc>
        <w:tc>
          <w:tcPr>
            <w:tcW w:w="760" w:type="dxa"/>
            <w:vAlign w:val="bottom"/>
            <w:gridSpan w:val="3"/>
          </w:tcPr>
          <w:p>
            <w:pPr>
              <w:jc w:val="center"/>
              <w:ind w:right="160"/>
              <w:spacing w:after="0"/>
              <w:rPr>
                <w:sz w:val="20"/>
                <w:szCs w:val="20"/>
                <w:color w:val="auto"/>
              </w:rPr>
            </w:pPr>
            <w:r>
              <w:rPr>
                <w:rFonts w:ascii="Arial" w:cs="Arial" w:eastAsia="Arial" w:hAnsi="Arial"/>
                <w:sz w:val="14"/>
                <w:szCs w:val="14"/>
                <w:b w:val="1"/>
                <w:bCs w:val="1"/>
                <w:color w:val="auto"/>
                <w:w w:val="92"/>
              </w:rPr>
              <w:t>(Note 8)</w:t>
            </w:r>
          </w:p>
        </w:tc>
        <w:tc>
          <w:tcPr>
            <w:tcW w:w="1160" w:type="dxa"/>
            <w:vAlign w:val="bottom"/>
            <w:gridSpan w:val="4"/>
          </w:tcPr>
          <w:p>
            <w:pPr>
              <w:ind w:left="100"/>
              <w:spacing w:after="0"/>
              <w:rPr>
                <w:sz w:val="20"/>
                <w:szCs w:val="20"/>
                <w:color w:val="auto"/>
              </w:rPr>
            </w:pPr>
            <w:r>
              <w:rPr>
                <w:rFonts w:ascii="Arial" w:cs="Arial" w:eastAsia="Arial" w:hAnsi="Arial"/>
                <w:sz w:val="14"/>
                <w:szCs w:val="14"/>
                <w:b w:val="1"/>
                <w:bCs w:val="1"/>
                <w:color w:val="auto"/>
              </w:rPr>
              <w:t>Adjustments</w:t>
            </w:r>
          </w:p>
        </w:tc>
        <w:tc>
          <w:tcPr>
            <w:tcW w:w="640" w:type="dxa"/>
            <w:vAlign w:val="bottom"/>
            <w:vMerge w:val="continue"/>
          </w:tcPr>
          <w:p>
            <w:pPr>
              <w:spacing w:after="0"/>
              <w:rPr>
                <w:sz w:val="14"/>
                <w:szCs w:val="14"/>
                <w:color w:val="auto"/>
              </w:rPr>
            </w:pPr>
          </w:p>
        </w:tc>
        <w:tc>
          <w:tcPr>
            <w:tcW w:w="1160" w:type="dxa"/>
            <w:vAlign w:val="bottom"/>
            <w:gridSpan w:val="4"/>
          </w:tcPr>
          <w:p>
            <w:pPr>
              <w:ind w:left="200"/>
              <w:spacing w:after="0"/>
              <w:rPr>
                <w:sz w:val="20"/>
                <w:szCs w:val="20"/>
                <w:color w:val="auto"/>
              </w:rPr>
            </w:pPr>
            <w:r>
              <w:rPr>
                <w:rFonts w:ascii="Arial" w:cs="Arial" w:eastAsia="Arial" w:hAnsi="Arial"/>
                <w:sz w:val="14"/>
                <w:szCs w:val="14"/>
                <w:b w:val="1"/>
                <w:bCs w:val="1"/>
                <w:color w:val="auto"/>
              </w:rPr>
              <w:t>Adjustments</w:t>
            </w:r>
          </w:p>
        </w:tc>
        <w:tc>
          <w:tcPr>
            <w:tcW w:w="1420" w:type="dxa"/>
            <w:vAlign w:val="bottom"/>
            <w:gridSpan w:val="6"/>
          </w:tcPr>
          <w:p>
            <w:pPr>
              <w:jc w:val="right"/>
              <w:ind w:right="60"/>
              <w:spacing w:after="0"/>
              <w:rPr>
                <w:sz w:val="20"/>
                <w:szCs w:val="20"/>
                <w:color w:val="auto"/>
              </w:rPr>
            </w:pPr>
            <w:r>
              <w:rPr>
                <w:rFonts w:ascii="Arial" w:cs="Arial" w:eastAsia="Arial" w:hAnsi="Arial"/>
                <w:sz w:val="14"/>
                <w:szCs w:val="14"/>
                <w:b w:val="1"/>
                <w:bCs w:val="1"/>
                <w:color w:val="auto"/>
              </w:rPr>
              <w:t>Note   Combined</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442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Revenues:</w:t>
            </w:r>
          </w:p>
        </w:tc>
        <w:tc>
          <w:tcPr>
            <w:tcW w:w="56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17"/>
                <w:szCs w:val="17"/>
                <w:color w:val="auto"/>
              </w:rPr>
            </w:pPr>
          </w:p>
        </w:tc>
        <w:tc>
          <w:tcPr>
            <w:tcW w:w="600" w:type="dxa"/>
            <w:vAlign w:val="bottom"/>
            <w:tcBorders>
              <w:top w:val="single" w:sz="8" w:color="auto"/>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500" w:type="dxa"/>
            <w:vAlign w:val="bottom"/>
            <w:tcBorders>
              <w:top w:val="single" w:sz="8" w:color="auto"/>
            </w:tcBorders>
            <w:shd w:val="clear" w:color="auto" w:fill="CCEEFF"/>
          </w:tcPr>
          <w:p>
            <w:pPr>
              <w:spacing w:after="0"/>
              <w:rPr>
                <w:sz w:val="17"/>
                <w:szCs w:val="17"/>
                <w:color w:val="auto"/>
              </w:rPr>
            </w:pPr>
          </w:p>
        </w:tc>
        <w:tc>
          <w:tcPr>
            <w:tcW w:w="16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640" w:type="dxa"/>
            <w:vAlign w:val="bottom"/>
            <w:tcBorders>
              <w:top w:val="single" w:sz="8" w:color="auto"/>
            </w:tcBorders>
            <w:shd w:val="clear" w:color="auto" w:fill="CCEEFF"/>
          </w:tcPr>
          <w:p>
            <w:pPr>
              <w:spacing w:after="0"/>
              <w:rPr>
                <w:sz w:val="17"/>
                <w:szCs w:val="17"/>
                <w:color w:val="auto"/>
              </w:rPr>
            </w:pPr>
          </w:p>
        </w:tc>
        <w:tc>
          <w:tcPr>
            <w:tcW w:w="260" w:type="dxa"/>
            <w:vAlign w:val="bottom"/>
            <w:tcBorders>
              <w:top w:val="single" w:sz="8" w:color="CCEEFF"/>
            </w:tcBorders>
            <w:shd w:val="clear" w:color="auto" w:fill="CCEEFF"/>
          </w:tcPr>
          <w:p>
            <w:pPr>
              <w:spacing w:after="0"/>
              <w:rPr>
                <w:sz w:val="17"/>
                <w:szCs w:val="17"/>
                <w:color w:val="auto"/>
              </w:rPr>
            </w:pPr>
          </w:p>
        </w:tc>
        <w:tc>
          <w:tcPr>
            <w:tcW w:w="640" w:type="dxa"/>
            <w:vAlign w:val="bottom"/>
            <w:tcBorders>
              <w:top w:val="single" w:sz="8" w:color="auto"/>
            </w:tcBorders>
            <w:shd w:val="clear" w:color="auto" w:fill="CCEEFF"/>
          </w:tcPr>
          <w:p>
            <w:pPr>
              <w:spacing w:after="0"/>
              <w:rPr>
                <w:sz w:val="17"/>
                <w:szCs w:val="17"/>
                <w:color w:val="auto"/>
              </w:rPr>
            </w:pPr>
          </w:p>
        </w:tc>
        <w:tc>
          <w:tcPr>
            <w:tcW w:w="20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700" w:type="dxa"/>
            <w:vAlign w:val="bottom"/>
            <w:tcBorders>
              <w:top w:val="single" w:sz="8" w:color="auto"/>
            </w:tcBorders>
            <w:shd w:val="clear" w:color="auto" w:fill="CCEEFF"/>
          </w:tcPr>
          <w:p>
            <w:pPr>
              <w:spacing w:after="0"/>
              <w:rPr>
                <w:sz w:val="17"/>
                <w:szCs w:val="17"/>
                <w:color w:val="auto"/>
              </w:rPr>
            </w:pPr>
          </w:p>
        </w:tc>
        <w:tc>
          <w:tcPr>
            <w:tcW w:w="16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300" w:type="dxa"/>
            <w:vAlign w:val="bottom"/>
            <w:tcBorders>
              <w:top w:val="single" w:sz="8" w:color="auto"/>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17"/>
                <w:szCs w:val="17"/>
                <w:color w:val="auto"/>
              </w:rPr>
            </w:pPr>
          </w:p>
        </w:tc>
        <w:tc>
          <w:tcPr>
            <w:tcW w:w="60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20" w:type="dxa"/>
            <w:vAlign w:val="bottom"/>
          </w:tcPr>
          <w:p>
            <w:pPr>
              <w:spacing w:after="0"/>
              <w:rPr>
                <w:sz w:val="20"/>
                <w:szCs w:val="20"/>
                <w:color w:val="auto"/>
              </w:rPr>
            </w:pPr>
            <w:r>
              <w:rPr>
                <w:rFonts w:ascii="Arial" w:cs="Arial" w:eastAsia="Arial" w:hAnsi="Arial"/>
                <w:sz w:val="18"/>
                <w:szCs w:val="18"/>
                <w:color w:val="auto"/>
              </w:rPr>
              <w:t>Research services</w:t>
            </w:r>
          </w:p>
        </w:tc>
        <w:tc>
          <w:tcPr>
            <w:tcW w:w="6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00" w:type="dxa"/>
            <w:vAlign w:val="bottom"/>
          </w:tcPr>
          <w:p>
            <w:pPr>
              <w:jc w:val="right"/>
              <w:spacing w:after="0"/>
              <w:rPr>
                <w:sz w:val="20"/>
                <w:szCs w:val="20"/>
                <w:color w:val="auto"/>
              </w:rPr>
            </w:pPr>
            <w:r>
              <w:rPr>
                <w:rFonts w:ascii="Arial" w:cs="Arial" w:eastAsia="Arial" w:hAnsi="Arial"/>
                <w:sz w:val="18"/>
                <w:szCs w:val="18"/>
                <w:color w:val="auto"/>
                <w:w w:val="89"/>
              </w:rPr>
              <w:t>228,399</w:t>
            </w:r>
          </w:p>
        </w:tc>
        <w:tc>
          <w:tcPr>
            <w:tcW w:w="3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00" w:type="dxa"/>
            <w:vAlign w:val="bottom"/>
          </w:tcPr>
          <w:p>
            <w:pPr>
              <w:jc w:val="right"/>
              <w:spacing w:after="0"/>
              <w:rPr>
                <w:sz w:val="20"/>
                <w:szCs w:val="20"/>
                <w:color w:val="auto"/>
              </w:rPr>
            </w:pPr>
            <w:r>
              <w:rPr>
                <w:rFonts w:ascii="Arial" w:cs="Arial" w:eastAsia="Arial" w:hAnsi="Arial"/>
                <w:sz w:val="18"/>
                <w:szCs w:val="18"/>
                <w:color w:val="auto"/>
                <w:w w:val="87"/>
              </w:rPr>
              <w:t>64,597</w:t>
            </w:r>
          </w:p>
        </w:tc>
        <w:tc>
          <w:tcPr>
            <w:tcW w:w="160" w:type="dxa"/>
            <w:vAlign w:val="bottom"/>
          </w:tcPr>
          <w:p>
            <w:pPr>
              <w:spacing w:after="0"/>
              <w:rPr>
                <w:sz w:val="18"/>
                <w:szCs w:val="18"/>
                <w:color w:val="auto"/>
              </w:rPr>
            </w:pPr>
          </w:p>
        </w:tc>
        <w:tc>
          <w:tcPr>
            <w:tcW w:w="260" w:type="dxa"/>
            <w:vAlign w:val="bottom"/>
            <w:gridSpan w:val="2"/>
          </w:tcPr>
          <w:p>
            <w:pPr>
              <w:ind w:left="100"/>
              <w:spacing w:after="0"/>
              <w:rPr>
                <w:sz w:val="20"/>
                <w:szCs w:val="20"/>
                <w:color w:val="auto"/>
              </w:rPr>
            </w:pPr>
            <w:r>
              <w:rPr>
                <w:rFonts w:ascii="Arial" w:cs="Arial" w:eastAsia="Arial" w:hAnsi="Arial"/>
                <w:sz w:val="18"/>
                <w:szCs w:val="18"/>
                <w:color w:val="auto"/>
              </w:rPr>
              <w:t>$</w:t>
            </w:r>
          </w:p>
        </w:tc>
        <w:tc>
          <w:tcPr>
            <w:tcW w:w="900" w:type="dxa"/>
            <w:vAlign w:val="bottom"/>
            <w:gridSpan w:val="2"/>
          </w:tcPr>
          <w:p>
            <w:pPr>
              <w:jc w:val="right"/>
              <w:ind w:right="120"/>
              <w:spacing w:after="0"/>
              <w:rPr>
                <w:sz w:val="20"/>
                <w:szCs w:val="20"/>
                <w:color w:val="auto"/>
              </w:rPr>
            </w:pPr>
            <w:r>
              <w:rPr>
                <w:rFonts w:ascii="Arial" w:cs="Arial" w:eastAsia="Arial" w:hAnsi="Arial"/>
                <w:sz w:val="18"/>
                <w:szCs w:val="18"/>
                <w:color w:val="auto"/>
              </w:rPr>
              <w:t>(6,528)</w:t>
            </w:r>
          </w:p>
        </w:tc>
        <w:tc>
          <w:tcPr>
            <w:tcW w:w="640" w:type="dxa"/>
            <w:vAlign w:val="bottom"/>
          </w:tcPr>
          <w:p>
            <w:pPr>
              <w:jc w:val="right"/>
              <w:spacing w:after="0"/>
              <w:rPr>
                <w:sz w:val="20"/>
                <w:szCs w:val="20"/>
                <w:color w:val="auto"/>
              </w:rPr>
            </w:pPr>
            <w:r>
              <w:rPr>
                <w:rFonts w:ascii="Arial" w:cs="Arial" w:eastAsia="Arial" w:hAnsi="Arial"/>
                <w:sz w:val="18"/>
                <w:szCs w:val="18"/>
                <w:color w:val="auto"/>
              </w:rPr>
              <w:t>7C</w:t>
            </w:r>
          </w:p>
        </w:tc>
        <w:tc>
          <w:tcPr>
            <w:tcW w:w="300" w:type="dxa"/>
            <w:vAlign w:val="bottom"/>
            <w:gridSpan w:val="2"/>
          </w:tcPr>
          <w:p>
            <w:pPr>
              <w:ind w:left="200"/>
              <w:spacing w:after="0"/>
              <w:rPr>
                <w:sz w:val="20"/>
                <w:szCs w:val="20"/>
                <w:color w:val="auto"/>
              </w:rPr>
            </w:pPr>
            <w:r>
              <w:rPr>
                <w:rFonts w:ascii="Arial" w:cs="Arial" w:eastAsia="Arial" w:hAnsi="Arial"/>
                <w:sz w:val="18"/>
                <w:szCs w:val="18"/>
                <w:color w:val="auto"/>
                <w:w w:val="79"/>
              </w:rPr>
              <w:t>$</w:t>
            </w:r>
          </w:p>
        </w:tc>
        <w:tc>
          <w:tcPr>
            <w:tcW w:w="8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700" w:type="dxa"/>
            <w:vAlign w:val="bottom"/>
            <w:gridSpan w:val="4"/>
          </w:tcPr>
          <w:p>
            <w:pPr>
              <w:jc w:val="right"/>
              <w:spacing w:after="0"/>
              <w:rPr>
                <w:sz w:val="20"/>
                <w:szCs w:val="20"/>
                <w:color w:val="auto"/>
              </w:rPr>
            </w:pPr>
            <w:r>
              <w:rPr>
                <w:rFonts w:ascii="Arial" w:cs="Arial" w:eastAsia="Arial" w:hAnsi="Arial"/>
                <w:sz w:val="18"/>
                <w:szCs w:val="18"/>
                <w:color w:val="auto"/>
              </w:rPr>
              <w:t>$</w:t>
            </w:r>
          </w:p>
        </w:tc>
        <w:tc>
          <w:tcPr>
            <w:tcW w:w="600" w:type="dxa"/>
            <w:vAlign w:val="bottom"/>
          </w:tcPr>
          <w:p>
            <w:pPr>
              <w:jc w:val="right"/>
              <w:spacing w:after="0"/>
              <w:rPr>
                <w:sz w:val="20"/>
                <w:szCs w:val="20"/>
                <w:color w:val="auto"/>
              </w:rPr>
            </w:pPr>
            <w:r>
              <w:rPr>
                <w:rFonts w:ascii="Arial" w:cs="Arial" w:eastAsia="Arial" w:hAnsi="Arial"/>
                <w:sz w:val="18"/>
                <w:szCs w:val="18"/>
                <w:color w:val="auto"/>
                <w:w w:val="89"/>
              </w:rPr>
              <w:t>286,468</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20" w:type="dxa"/>
            <w:vAlign w:val="bottom"/>
            <w:shd w:val="clear" w:color="auto" w:fill="CCEEFF"/>
          </w:tcPr>
          <w:p>
            <w:pPr>
              <w:spacing w:after="0"/>
              <w:rPr>
                <w:sz w:val="20"/>
                <w:szCs w:val="20"/>
                <w:color w:val="auto"/>
              </w:rPr>
            </w:pPr>
            <w:r>
              <w:rPr>
                <w:rFonts w:ascii="Arial" w:cs="Arial" w:eastAsia="Arial" w:hAnsi="Arial"/>
                <w:sz w:val="18"/>
                <w:szCs w:val="18"/>
                <w:color w:val="auto"/>
              </w:rPr>
              <w:t>Advisory services and events</w:t>
            </w:r>
          </w:p>
        </w:tc>
        <w:tc>
          <w:tcPr>
            <w:tcW w:w="5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129,176</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24,924</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(2,519)</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7C</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151,581</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420" w:type="dxa"/>
            <w:vAlign w:val="bottom"/>
          </w:tcPr>
          <w:p>
            <w:pPr>
              <w:ind w:left="340"/>
              <w:spacing w:after="0"/>
              <w:rPr>
                <w:sz w:val="20"/>
                <w:szCs w:val="20"/>
                <w:color w:val="auto"/>
              </w:rPr>
            </w:pPr>
            <w:r>
              <w:rPr>
                <w:rFonts w:ascii="Arial" w:cs="Arial" w:eastAsia="Arial" w:hAnsi="Arial"/>
                <w:sz w:val="18"/>
                <w:szCs w:val="18"/>
                <w:color w:val="auto"/>
              </w:rPr>
              <w:t>Total revenues</w:t>
            </w:r>
          </w:p>
        </w:tc>
        <w:tc>
          <w:tcPr>
            <w:tcW w:w="560" w:type="dxa"/>
            <w:vAlign w:val="bottom"/>
          </w:tcPr>
          <w:p>
            <w:pPr>
              <w:spacing w:after="0"/>
              <w:rPr>
                <w:sz w:val="20"/>
                <w:szCs w:val="20"/>
                <w:color w:val="auto"/>
              </w:rPr>
            </w:pPr>
          </w:p>
        </w:tc>
        <w:tc>
          <w:tcPr>
            <w:tcW w:w="80" w:type="dxa"/>
            <w:vAlign w:val="bottom"/>
            <w:tcBorders>
              <w:top w:val="single" w:sz="8" w:color="auto"/>
              <w:bottom w:val="single" w:sz="8" w:color="auto"/>
            </w:tcBorders>
          </w:tcPr>
          <w:p>
            <w:pPr>
              <w:spacing w:after="0"/>
              <w:rPr>
                <w:sz w:val="20"/>
                <w:szCs w:val="20"/>
                <w:color w:val="auto"/>
              </w:rPr>
            </w:pP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9"/>
              </w:rPr>
              <w:t>357,575</w:t>
            </w:r>
          </w:p>
        </w:tc>
        <w:tc>
          <w:tcPr>
            <w:tcW w:w="22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7"/>
              </w:rPr>
              <w:t>89,521</w:t>
            </w: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Borders>
              <w:top w:val="single" w:sz="8" w:color="auto"/>
              <w:bottom w:val="single" w:sz="8" w:color="auto"/>
            </w:tcBorders>
          </w:tcPr>
          <w:p>
            <w:pPr>
              <w:spacing w:after="0"/>
              <w:rPr>
                <w:sz w:val="20"/>
                <w:szCs w:val="20"/>
                <w:color w:val="auto"/>
              </w:rPr>
            </w:pP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(9,047)</w:t>
            </w:r>
          </w:p>
        </w:tc>
        <w:tc>
          <w:tcPr>
            <w:tcW w:w="26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70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0" w:type="dxa"/>
            <w:vAlign w:val="bottom"/>
            <w:tcBorders>
              <w:top w:val="single" w:sz="8" w:color="auto"/>
              <w:bottom w:val="single" w:sz="8" w:color="auto"/>
            </w:tcBorders>
          </w:tcPr>
          <w:p>
            <w:pPr>
              <w:spacing w:after="0"/>
              <w:rPr>
                <w:sz w:val="20"/>
                <w:szCs w:val="20"/>
                <w:color w:val="auto"/>
              </w:rPr>
            </w:pP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9"/>
              </w:rPr>
              <w:t>438,049</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Operating expenses:</w:t>
            </w:r>
          </w:p>
        </w:tc>
        <w:tc>
          <w:tcPr>
            <w:tcW w:w="5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4420" w:type="dxa"/>
            <w:vAlign w:val="bottom"/>
          </w:tcPr>
          <w:p>
            <w:pPr>
              <w:spacing w:after="0" w:line="201" w:lineRule="exact"/>
              <w:rPr>
                <w:sz w:val="20"/>
                <w:szCs w:val="20"/>
                <w:color w:val="auto"/>
              </w:rPr>
            </w:pPr>
            <w:r>
              <w:rPr>
                <w:rFonts w:ascii="Arial" w:cs="Arial" w:eastAsia="Arial" w:hAnsi="Arial"/>
                <w:sz w:val="18"/>
                <w:szCs w:val="18"/>
                <w:color w:val="auto"/>
              </w:rPr>
              <w:t>Cost of services and fulfillment</w:t>
            </w:r>
          </w:p>
        </w:tc>
        <w:tc>
          <w:tcPr>
            <w:tcW w:w="5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640" w:type="dxa"/>
            <w:vAlign w:val="bottom"/>
          </w:tcPr>
          <w:p>
            <w:pPr>
              <w:jc w:val="right"/>
              <w:spacing w:after="0" w:line="201" w:lineRule="exact"/>
              <w:rPr>
                <w:sz w:val="20"/>
                <w:szCs w:val="20"/>
                <w:color w:val="auto"/>
              </w:rPr>
            </w:pPr>
            <w:r>
              <w:rPr>
                <w:rFonts w:ascii="Arial" w:cs="Arial" w:eastAsia="Arial" w:hAnsi="Arial"/>
                <w:sz w:val="18"/>
                <w:szCs w:val="18"/>
                <w:color w:val="auto"/>
              </w:rPr>
              <w:t>7A,</w:t>
            </w: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4"/>
        </w:trPr>
        <w:tc>
          <w:tcPr>
            <w:tcW w:w="20" w:type="dxa"/>
            <w:vAlign w:val="bottom"/>
          </w:tcPr>
          <w:p>
            <w:pPr>
              <w:spacing w:after="0"/>
              <w:rPr>
                <w:sz w:val="21"/>
                <w:szCs w:val="21"/>
                <w:color w:val="auto"/>
              </w:rPr>
            </w:pPr>
          </w:p>
        </w:tc>
        <w:tc>
          <w:tcPr>
            <w:tcW w:w="442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w w:val="89"/>
              </w:rPr>
              <w:t>146,502</w:t>
            </w:r>
          </w:p>
        </w:tc>
        <w:tc>
          <w:tcPr>
            <w:tcW w:w="2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w w:val="87"/>
              </w:rPr>
              <w:t>34,002</w:t>
            </w:r>
          </w:p>
        </w:tc>
        <w:tc>
          <w:tcPr>
            <w:tcW w:w="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742</w:t>
            </w:r>
          </w:p>
        </w:tc>
        <w:tc>
          <w:tcPr>
            <w:tcW w:w="260" w:type="dxa"/>
            <w:vAlign w:val="bottom"/>
          </w:tcPr>
          <w:p>
            <w:pPr>
              <w:spacing w:after="0"/>
              <w:rPr>
                <w:sz w:val="21"/>
                <w:szCs w:val="21"/>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7D, 7E</w:t>
            </w:r>
          </w:p>
        </w:tc>
        <w:tc>
          <w:tcPr>
            <w:tcW w:w="2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w w:val="89"/>
              </w:rPr>
              <w:t>181,246</w:t>
            </w:r>
          </w:p>
        </w:tc>
        <w:tc>
          <w:tcPr>
            <w:tcW w:w="1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442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Selling and marketing</w:t>
            </w:r>
          </w:p>
        </w:tc>
        <w:tc>
          <w:tcPr>
            <w:tcW w:w="5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640" w:type="dxa"/>
            <w:vAlign w:val="bottom"/>
            <w:shd w:val="clear" w:color="auto" w:fill="CCEEFF"/>
          </w:tcPr>
          <w:p>
            <w:pPr>
              <w:jc w:val="right"/>
              <w:spacing w:after="0" w:line="201" w:lineRule="exact"/>
              <w:rPr>
                <w:sz w:val="20"/>
                <w:szCs w:val="20"/>
                <w:color w:val="auto"/>
              </w:rPr>
            </w:pPr>
            <w:r>
              <w:rPr>
                <w:rFonts w:ascii="Arial" w:cs="Arial" w:eastAsia="Arial" w:hAnsi="Arial"/>
                <w:sz w:val="18"/>
                <w:szCs w:val="18"/>
                <w:color w:val="auto"/>
                <w:w w:val="99"/>
              </w:rPr>
              <w:t>7A, 7D,</w:t>
            </w:r>
          </w:p>
        </w:tc>
        <w:tc>
          <w:tcPr>
            <w:tcW w:w="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7E,</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44"/>
        </w:trPr>
        <w:tc>
          <w:tcPr>
            <w:tcW w:w="20" w:type="dxa"/>
            <w:vAlign w:val="bottom"/>
          </w:tcPr>
          <w:p>
            <w:pPr>
              <w:spacing w:after="0"/>
              <w:rPr>
                <w:sz w:val="21"/>
                <w:szCs w:val="21"/>
                <w:color w:val="auto"/>
              </w:rPr>
            </w:pPr>
          </w:p>
        </w:tc>
        <w:tc>
          <w:tcPr>
            <w:tcW w:w="4420" w:type="dxa"/>
            <w:vAlign w:val="bottom"/>
            <w:shd w:val="clear" w:color="auto" w:fill="CCEEFF"/>
          </w:tcPr>
          <w:p>
            <w:pPr>
              <w:spacing w:after="0"/>
              <w:rPr>
                <w:sz w:val="21"/>
                <w:szCs w:val="21"/>
                <w:color w:val="auto"/>
              </w:rPr>
            </w:pPr>
          </w:p>
        </w:tc>
        <w:tc>
          <w:tcPr>
            <w:tcW w:w="56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131,824</w:t>
            </w:r>
          </w:p>
        </w:tc>
        <w:tc>
          <w:tcPr>
            <w:tcW w:w="2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33,392</w:t>
            </w:r>
          </w:p>
        </w:tc>
        <w:tc>
          <w:tcPr>
            <w:tcW w:w="16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9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(2,204)</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7F</w:t>
            </w:r>
          </w:p>
        </w:tc>
        <w:tc>
          <w:tcPr>
            <w:tcW w:w="2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8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163,012</w:t>
            </w:r>
          </w:p>
        </w:tc>
        <w:tc>
          <w:tcPr>
            <w:tcW w:w="12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20" w:type="dxa"/>
            <w:vAlign w:val="bottom"/>
          </w:tcPr>
          <w:p>
            <w:pPr>
              <w:spacing w:after="0"/>
              <w:rPr>
                <w:sz w:val="20"/>
                <w:szCs w:val="20"/>
                <w:color w:val="auto"/>
              </w:rPr>
            </w:pPr>
            <w:r>
              <w:rPr>
                <w:rFonts w:ascii="Arial" w:cs="Arial" w:eastAsia="Arial" w:hAnsi="Arial"/>
                <w:sz w:val="18"/>
                <w:szCs w:val="18"/>
                <w:color w:val="auto"/>
              </w:rPr>
              <w:t>General and administrative</w:t>
            </w:r>
          </w:p>
        </w:tc>
        <w:tc>
          <w:tcPr>
            <w:tcW w:w="5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43,920</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w w:val="87"/>
              </w:rPr>
              <w:t>16,129</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00" w:type="dxa"/>
            <w:vAlign w:val="bottom"/>
            <w:gridSpan w:val="2"/>
          </w:tcPr>
          <w:p>
            <w:pPr>
              <w:jc w:val="right"/>
              <w:ind w:right="120"/>
              <w:spacing w:after="0"/>
              <w:rPr>
                <w:sz w:val="20"/>
                <w:szCs w:val="20"/>
                <w:color w:val="auto"/>
              </w:rPr>
            </w:pPr>
            <w:r>
              <w:rPr>
                <w:rFonts w:ascii="Arial" w:cs="Arial" w:eastAsia="Arial" w:hAnsi="Arial"/>
                <w:sz w:val="18"/>
                <w:szCs w:val="18"/>
                <w:color w:val="auto"/>
              </w:rPr>
              <w:t>(30)</w:t>
            </w:r>
          </w:p>
        </w:tc>
        <w:tc>
          <w:tcPr>
            <w:tcW w:w="640" w:type="dxa"/>
            <w:vAlign w:val="bottom"/>
          </w:tcPr>
          <w:p>
            <w:pPr>
              <w:jc w:val="right"/>
              <w:spacing w:after="0"/>
              <w:rPr>
                <w:sz w:val="20"/>
                <w:szCs w:val="20"/>
                <w:color w:val="auto"/>
              </w:rPr>
            </w:pPr>
            <w:r>
              <w:rPr>
                <w:rFonts w:ascii="Arial" w:cs="Arial" w:eastAsia="Arial" w:hAnsi="Arial"/>
                <w:sz w:val="18"/>
                <w:szCs w:val="18"/>
                <w:color w:val="auto"/>
              </w:rPr>
              <w:t>7A, 7E</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60,019</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20" w:type="dxa"/>
            <w:vAlign w:val="bottom"/>
            <w:shd w:val="clear" w:color="auto" w:fill="CCEEFF"/>
          </w:tcPr>
          <w:p>
            <w:pPr>
              <w:spacing w:after="0"/>
              <w:rPr>
                <w:sz w:val="20"/>
                <w:szCs w:val="20"/>
                <w:color w:val="auto"/>
              </w:rPr>
            </w:pPr>
            <w:r>
              <w:rPr>
                <w:rFonts w:ascii="Arial" w:cs="Arial" w:eastAsia="Arial" w:hAnsi="Arial"/>
                <w:sz w:val="18"/>
                <w:szCs w:val="18"/>
                <w:color w:val="auto"/>
              </w:rPr>
              <w:t>Depreciation</w:t>
            </w:r>
          </w:p>
        </w:tc>
        <w:tc>
          <w:tcPr>
            <w:tcW w:w="5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7,955</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736</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w:t>
            </w:r>
          </w:p>
        </w:tc>
        <w:tc>
          <w:tcPr>
            <w:tcW w:w="26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7A</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8,751</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20" w:type="dxa"/>
            <w:vAlign w:val="bottom"/>
          </w:tcPr>
          <w:p>
            <w:pPr>
              <w:spacing w:after="0"/>
              <w:rPr>
                <w:sz w:val="20"/>
                <w:szCs w:val="20"/>
                <w:color w:val="auto"/>
              </w:rPr>
            </w:pPr>
            <w:r>
              <w:rPr>
                <w:rFonts w:ascii="Arial" w:cs="Arial" w:eastAsia="Arial" w:hAnsi="Arial"/>
                <w:sz w:val="18"/>
                <w:szCs w:val="18"/>
                <w:color w:val="auto"/>
              </w:rPr>
              <w:t>Amortization of intangible assets</w:t>
            </w:r>
          </w:p>
        </w:tc>
        <w:tc>
          <w:tcPr>
            <w:tcW w:w="5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1,162</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1,169</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17,700</w:t>
            </w:r>
          </w:p>
        </w:tc>
        <w:tc>
          <w:tcPr>
            <w:tcW w:w="26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7A</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20,031</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20" w:type="dxa"/>
            <w:vAlign w:val="bottom"/>
            <w:shd w:val="clear" w:color="auto" w:fill="CCEEFF"/>
          </w:tcPr>
          <w:p>
            <w:pPr>
              <w:spacing w:after="0"/>
              <w:rPr>
                <w:sz w:val="20"/>
                <w:szCs w:val="20"/>
                <w:color w:val="auto"/>
              </w:rPr>
            </w:pPr>
            <w:r>
              <w:rPr>
                <w:rFonts w:ascii="Arial" w:cs="Arial" w:eastAsia="Arial" w:hAnsi="Arial"/>
                <w:sz w:val="18"/>
                <w:szCs w:val="18"/>
                <w:color w:val="auto"/>
              </w:rPr>
              <w:t>Acquisition and integration costs</w:t>
            </w:r>
          </w:p>
        </w:tc>
        <w:tc>
          <w:tcPr>
            <w:tcW w:w="5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3,787</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1,468</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(3,302)</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7G</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1,953</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420" w:type="dxa"/>
            <w:vAlign w:val="bottom"/>
          </w:tcPr>
          <w:p>
            <w:pPr>
              <w:ind w:left="340"/>
              <w:spacing w:after="0"/>
              <w:rPr>
                <w:sz w:val="20"/>
                <w:szCs w:val="20"/>
                <w:color w:val="auto"/>
              </w:rPr>
            </w:pPr>
            <w:r>
              <w:rPr>
                <w:rFonts w:ascii="Arial" w:cs="Arial" w:eastAsia="Arial" w:hAnsi="Arial"/>
                <w:sz w:val="18"/>
                <w:szCs w:val="18"/>
                <w:color w:val="auto"/>
              </w:rPr>
              <w:t>Total operating expenses</w:t>
            </w:r>
          </w:p>
        </w:tc>
        <w:tc>
          <w:tcPr>
            <w:tcW w:w="560" w:type="dxa"/>
            <w:vAlign w:val="bottom"/>
          </w:tcPr>
          <w:p>
            <w:pPr>
              <w:spacing w:after="0"/>
              <w:rPr>
                <w:sz w:val="20"/>
                <w:szCs w:val="20"/>
                <w:color w:val="auto"/>
              </w:rPr>
            </w:pPr>
          </w:p>
        </w:tc>
        <w:tc>
          <w:tcPr>
            <w:tcW w:w="80" w:type="dxa"/>
            <w:vAlign w:val="bottom"/>
            <w:tcBorders>
              <w:top w:val="single" w:sz="8" w:color="auto"/>
              <w:bottom w:val="single" w:sz="8" w:color="auto"/>
            </w:tcBorders>
          </w:tcPr>
          <w:p>
            <w:pPr>
              <w:spacing w:after="0"/>
              <w:rPr>
                <w:sz w:val="20"/>
                <w:szCs w:val="20"/>
                <w:color w:val="auto"/>
              </w:rPr>
            </w:pP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9"/>
              </w:rPr>
              <w:t>335,150</w:t>
            </w:r>
          </w:p>
        </w:tc>
        <w:tc>
          <w:tcPr>
            <w:tcW w:w="22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7"/>
              </w:rPr>
              <w:t>86,896</w:t>
            </w: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Borders>
              <w:top w:val="single" w:sz="8" w:color="auto"/>
              <w:bottom w:val="single" w:sz="8" w:color="auto"/>
            </w:tcBorders>
          </w:tcPr>
          <w:p>
            <w:pPr>
              <w:spacing w:after="0"/>
              <w:rPr>
                <w:sz w:val="20"/>
                <w:szCs w:val="20"/>
                <w:color w:val="auto"/>
              </w:rPr>
            </w:pP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12,966</w:t>
            </w:r>
          </w:p>
        </w:tc>
        <w:tc>
          <w:tcPr>
            <w:tcW w:w="26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70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0" w:type="dxa"/>
            <w:vAlign w:val="bottom"/>
            <w:tcBorders>
              <w:top w:val="single" w:sz="8" w:color="auto"/>
              <w:bottom w:val="single" w:sz="8" w:color="auto"/>
            </w:tcBorders>
          </w:tcPr>
          <w:p>
            <w:pPr>
              <w:spacing w:after="0"/>
              <w:rPr>
                <w:sz w:val="20"/>
                <w:szCs w:val="20"/>
                <w:color w:val="auto"/>
              </w:rPr>
            </w:pP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9"/>
              </w:rPr>
              <w:t>435,012</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20" w:type="dxa"/>
            <w:vAlign w:val="bottom"/>
            <w:shd w:val="clear" w:color="auto" w:fill="CCEEFF"/>
          </w:tcPr>
          <w:p>
            <w:pPr>
              <w:spacing w:after="0"/>
              <w:rPr>
                <w:sz w:val="20"/>
                <w:szCs w:val="20"/>
                <w:color w:val="auto"/>
              </w:rPr>
            </w:pPr>
            <w:r>
              <w:rPr>
                <w:rFonts w:ascii="Arial" w:cs="Arial" w:eastAsia="Arial" w:hAnsi="Arial"/>
                <w:sz w:val="18"/>
                <w:szCs w:val="18"/>
                <w:color w:val="auto"/>
              </w:rPr>
              <w:t>Income from operations</w:t>
            </w:r>
          </w:p>
        </w:tc>
        <w:tc>
          <w:tcPr>
            <w:tcW w:w="5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22,425</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2,625</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(22,013)</w:t>
            </w:r>
          </w:p>
        </w:tc>
        <w:tc>
          <w:tcPr>
            <w:tcW w:w="6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3,037</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20" w:type="dxa"/>
            <w:vAlign w:val="bottom"/>
          </w:tcPr>
          <w:p>
            <w:pPr>
              <w:spacing w:after="0"/>
              <w:rPr>
                <w:sz w:val="20"/>
                <w:szCs w:val="20"/>
                <w:color w:val="auto"/>
              </w:rPr>
            </w:pPr>
            <w:r>
              <w:rPr>
                <w:rFonts w:ascii="Arial" w:cs="Arial" w:eastAsia="Arial" w:hAnsi="Arial"/>
                <w:sz w:val="18"/>
                <w:szCs w:val="18"/>
                <w:color w:val="auto"/>
              </w:rPr>
              <w:t>Other income (expense), net</w:t>
            </w:r>
          </w:p>
        </w:tc>
        <w:tc>
          <w:tcPr>
            <w:tcW w:w="5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674</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gridSpan w:val="2"/>
          </w:tcPr>
          <w:p>
            <w:pPr>
              <w:jc w:val="right"/>
              <w:ind w:right="100"/>
              <w:spacing w:after="0"/>
              <w:rPr>
                <w:sz w:val="20"/>
                <w:szCs w:val="20"/>
                <w:color w:val="auto"/>
              </w:rPr>
            </w:pPr>
            <w:r>
              <w:rPr>
                <w:rFonts w:ascii="Arial" w:cs="Arial" w:eastAsia="Arial" w:hAnsi="Arial"/>
                <w:sz w:val="18"/>
                <w:szCs w:val="18"/>
                <w:color w:val="auto"/>
              </w:rPr>
              <w:t>(365)</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0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6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gridSpan w:val="2"/>
          </w:tcPr>
          <w:p>
            <w:pPr>
              <w:jc w:val="right"/>
              <w:ind w:right="20"/>
              <w:spacing w:after="0"/>
              <w:rPr>
                <w:sz w:val="20"/>
                <w:szCs w:val="20"/>
                <w:color w:val="auto"/>
              </w:rPr>
            </w:pPr>
            <w:r>
              <w:rPr>
                <w:rFonts w:ascii="Arial" w:cs="Arial" w:eastAsia="Arial" w:hAnsi="Arial"/>
                <w:sz w:val="18"/>
                <w:szCs w:val="18"/>
                <w:color w:val="auto"/>
              </w:rPr>
              <w:t>(10,131)</w:t>
            </w:r>
          </w:p>
        </w:tc>
        <w:tc>
          <w:tcPr>
            <w:tcW w:w="100" w:type="dxa"/>
            <w:vAlign w:val="bottom"/>
          </w:tcPr>
          <w:p>
            <w:pPr>
              <w:spacing w:after="0"/>
              <w:rPr>
                <w:sz w:val="18"/>
                <w:szCs w:val="18"/>
                <w:color w:val="auto"/>
              </w:rPr>
            </w:pPr>
          </w:p>
        </w:tc>
        <w:tc>
          <w:tcPr>
            <w:tcW w:w="600" w:type="dxa"/>
            <w:vAlign w:val="bottom"/>
            <w:gridSpan w:val="3"/>
          </w:tcPr>
          <w:p>
            <w:pPr>
              <w:jc w:val="right"/>
              <w:ind w:right="225"/>
              <w:spacing w:after="0"/>
              <w:rPr>
                <w:sz w:val="20"/>
                <w:szCs w:val="20"/>
                <w:color w:val="auto"/>
              </w:rPr>
            </w:pPr>
            <w:r>
              <w:rPr>
                <w:rFonts w:ascii="Arial" w:cs="Arial" w:eastAsia="Arial" w:hAnsi="Arial"/>
                <w:sz w:val="18"/>
                <w:szCs w:val="18"/>
                <w:color w:val="auto"/>
              </w:rPr>
              <w:t>7B</w:t>
            </w:r>
          </w:p>
        </w:tc>
        <w:tc>
          <w:tcPr>
            <w:tcW w:w="720" w:type="dxa"/>
            <w:vAlign w:val="bottom"/>
            <w:gridSpan w:val="2"/>
          </w:tcPr>
          <w:p>
            <w:pPr>
              <w:jc w:val="right"/>
              <w:spacing w:after="0"/>
              <w:rPr>
                <w:sz w:val="20"/>
                <w:szCs w:val="20"/>
                <w:color w:val="auto"/>
              </w:rPr>
            </w:pPr>
            <w:r>
              <w:rPr>
                <w:rFonts w:ascii="Arial" w:cs="Arial" w:eastAsia="Arial" w:hAnsi="Arial"/>
                <w:sz w:val="18"/>
                <w:szCs w:val="18"/>
                <w:color w:val="auto"/>
              </w:rPr>
              <w:t>(9,822)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20" w:type="dxa"/>
            <w:vAlign w:val="bottom"/>
            <w:shd w:val="clear" w:color="auto" w:fill="CCEEFF"/>
          </w:tcPr>
          <w:p>
            <w:pPr>
              <w:spacing w:after="0"/>
              <w:rPr>
                <w:sz w:val="20"/>
                <w:szCs w:val="20"/>
                <w:color w:val="auto"/>
              </w:rPr>
            </w:pPr>
            <w:r>
              <w:rPr>
                <w:rFonts w:ascii="Arial" w:cs="Arial" w:eastAsia="Arial" w:hAnsi="Arial"/>
                <w:sz w:val="18"/>
                <w:szCs w:val="18"/>
                <w:color w:val="auto"/>
              </w:rPr>
              <w:t>Gains on investments, net</w:t>
            </w:r>
          </w:p>
        </w:tc>
        <w:tc>
          <w:tcPr>
            <w:tcW w:w="5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426</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426</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420" w:type="dxa"/>
            <w:vAlign w:val="bottom"/>
          </w:tcPr>
          <w:p>
            <w:pPr>
              <w:ind w:left="340"/>
              <w:spacing w:after="0"/>
              <w:rPr>
                <w:sz w:val="20"/>
                <w:szCs w:val="20"/>
                <w:color w:val="auto"/>
              </w:rPr>
            </w:pPr>
            <w:r>
              <w:rPr>
                <w:rFonts w:ascii="Arial" w:cs="Arial" w:eastAsia="Arial" w:hAnsi="Arial"/>
                <w:sz w:val="18"/>
                <w:szCs w:val="18"/>
                <w:color w:val="auto"/>
              </w:rPr>
              <w:t>Income (loss) before income taxes</w:t>
            </w:r>
          </w:p>
        </w:tc>
        <w:tc>
          <w:tcPr>
            <w:tcW w:w="56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6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23,525</w:t>
            </w:r>
          </w:p>
        </w:tc>
        <w:tc>
          <w:tcPr>
            <w:tcW w:w="22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5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2,260</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6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2"/>
              </w:rPr>
              <w:t>(22,013)</w:t>
            </w:r>
          </w:p>
        </w:tc>
        <w:tc>
          <w:tcPr>
            <w:tcW w:w="26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7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(10,131)</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6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(6,359)</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20" w:type="dxa"/>
            <w:vAlign w:val="bottom"/>
            <w:shd w:val="clear" w:color="auto" w:fill="CCEEFF"/>
          </w:tcPr>
          <w:p>
            <w:pPr>
              <w:spacing w:after="0"/>
              <w:rPr>
                <w:sz w:val="20"/>
                <w:szCs w:val="20"/>
                <w:color w:val="auto"/>
              </w:rPr>
            </w:pPr>
            <w:r>
              <w:rPr>
                <w:rFonts w:ascii="Arial" w:cs="Arial" w:eastAsia="Arial" w:hAnsi="Arial"/>
                <w:sz w:val="18"/>
                <w:szCs w:val="18"/>
                <w:color w:val="auto"/>
              </w:rPr>
              <w:t>Income tax expense (benefit)</w:t>
            </w:r>
          </w:p>
        </w:tc>
        <w:tc>
          <w:tcPr>
            <w:tcW w:w="5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8,145</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(5,617)</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7H</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(2,837)</w:t>
            </w:r>
          </w:p>
        </w:tc>
        <w:tc>
          <w:tcPr>
            <w:tcW w:w="100" w:type="dxa"/>
            <w:vAlign w:val="bottom"/>
            <w:shd w:val="clear" w:color="auto" w:fill="CCEEFF"/>
          </w:tcPr>
          <w:p>
            <w:pPr>
              <w:spacing w:after="0"/>
              <w:rPr>
                <w:sz w:val="18"/>
                <w:szCs w:val="18"/>
                <w:color w:val="auto"/>
              </w:rPr>
            </w:pPr>
          </w:p>
        </w:tc>
        <w:tc>
          <w:tcPr>
            <w:tcW w:w="600" w:type="dxa"/>
            <w:vAlign w:val="bottom"/>
            <w:gridSpan w:val="3"/>
            <w:shd w:val="clear" w:color="auto" w:fill="CCEEFF"/>
          </w:tcPr>
          <w:p>
            <w:pPr>
              <w:jc w:val="right"/>
              <w:ind w:right="225"/>
              <w:spacing w:after="0"/>
              <w:rPr>
                <w:sz w:val="20"/>
                <w:szCs w:val="20"/>
                <w:color w:val="auto"/>
              </w:rPr>
            </w:pPr>
            <w:r>
              <w:rPr>
                <w:rFonts w:ascii="Arial" w:cs="Arial" w:eastAsia="Arial" w:hAnsi="Arial"/>
                <w:sz w:val="18"/>
                <w:szCs w:val="18"/>
                <w:color w:val="auto"/>
              </w:rPr>
              <w:t>7H</w:t>
            </w:r>
          </w:p>
        </w:tc>
        <w:tc>
          <w:tcPr>
            <w:tcW w:w="7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(309)</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420" w:type="dxa"/>
            <w:vAlign w:val="bottom"/>
          </w:tcPr>
          <w:p>
            <w:pPr>
              <w:ind w:left="340"/>
              <w:spacing w:after="0"/>
              <w:rPr>
                <w:sz w:val="20"/>
                <w:szCs w:val="20"/>
                <w:color w:val="auto"/>
              </w:rPr>
            </w:pPr>
            <w:r>
              <w:rPr>
                <w:rFonts w:ascii="Arial" w:cs="Arial" w:eastAsia="Arial" w:hAnsi="Arial"/>
                <w:sz w:val="18"/>
                <w:szCs w:val="18"/>
                <w:b w:val="1"/>
                <w:bCs w:val="1"/>
                <w:color w:val="auto"/>
              </w:rPr>
              <w:t>Net income (loss)</w:t>
            </w:r>
          </w:p>
        </w:tc>
        <w:tc>
          <w:tcPr>
            <w:tcW w:w="560" w:type="dxa"/>
            <w:vAlign w:val="bottom"/>
          </w:tcPr>
          <w:p>
            <w:pPr>
              <w:spacing w:after="0"/>
              <w:rPr>
                <w:sz w:val="19"/>
                <w:szCs w:val="19"/>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b w:val="1"/>
                <w:bCs w:val="1"/>
                <w:color w:val="auto"/>
                <w:w w:val="71"/>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15,380</w:t>
            </w:r>
          </w:p>
        </w:tc>
        <w:tc>
          <w:tcPr>
            <w:tcW w:w="22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b w:val="1"/>
                <w:bCs w:val="1"/>
                <w:color w:val="auto"/>
                <w:w w:val="71"/>
              </w:rPr>
              <w:t>$</w:t>
            </w:r>
          </w:p>
        </w:tc>
        <w:tc>
          <w:tcPr>
            <w:tcW w:w="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2,260</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b w:val="1"/>
                <w:bCs w:val="1"/>
                <w:color w:val="auto"/>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(16,396</w:t>
            </w:r>
          </w:p>
        </w:tc>
        <w:tc>
          <w:tcPr>
            <w:tcW w:w="260" w:type="dxa"/>
            <w:vAlign w:val="bottom"/>
          </w:tcPr>
          <w:p>
            <w:pPr>
              <w:jc w:val="right"/>
              <w:ind w:right="120"/>
              <w:spacing w:after="0"/>
              <w:rPr>
                <w:sz w:val="20"/>
                <w:szCs w:val="20"/>
                <w:color w:val="auto"/>
              </w:rPr>
            </w:pPr>
            <w:r>
              <w:rPr>
                <w:rFonts w:ascii="Arial" w:cs="Arial" w:eastAsia="Arial" w:hAnsi="Arial"/>
                <w:sz w:val="16"/>
                <w:szCs w:val="16"/>
                <w:b w:val="1"/>
                <w:bCs w:val="1"/>
                <w:color w:val="auto"/>
                <w:w w:val="74"/>
              </w:rPr>
              <w:t>)</w:t>
            </w:r>
          </w:p>
        </w:tc>
        <w:tc>
          <w:tcPr>
            <w:tcW w:w="6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b w:val="1"/>
                <w:bCs w:val="1"/>
                <w:color w:val="auto"/>
                <w:w w:val="79"/>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(7,294</w:t>
            </w:r>
          </w:p>
        </w:tc>
        <w:tc>
          <w:tcPr>
            <w:tcW w:w="160" w:type="dxa"/>
            <w:vAlign w:val="bottom"/>
          </w:tcPr>
          <w:p>
            <w:pPr>
              <w:jc w:val="right"/>
              <w:ind w:right="20"/>
              <w:spacing w:after="0"/>
              <w:rPr>
                <w:sz w:val="20"/>
                <w:szCs w:val="20"/>
                <w:color w:val="auto"/>
              </w:rPr>
            </w:pPr>
            <w:r>
              <w:rPr>
                <w:rFonts w:ascii="Arial" w:cs="Arial" w:eastAsia="Arial" w:hAnsi="Arial"/>
                <w:sz w:val="16"/>
                <w:szCs w:val="16"/>
                <w:b w:val="1"/>
                <w:bCs w:val="1"/>
                <w:color w:val="auto"/>
                <w:w w:val="74"/>
              </w:rPr>
              <w:t>)</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b w:val="1"/>
                <w:bCs w:val="1"/>
                <w:color w:val="auto"/>
                <w:w w:val="71"/>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(6,050</w:t>
            </w:r>
          </w:p>
        </w:tc>
        <w:tc>
          <w:tcPr>
            <w:tcW w:w="120" w:type="dxa"/>
            <w:vAlign w:val="bottom"/>
          </w:tcPr>
          <w:p>
            <w:pPr>
              <w:jc w:val="right"/>
              <w:spacing w:after="0"/>
              <w:rPr>
                <w:sz w:val="20"/>
                <w:szCs w:val="20"/>
                <w:color w:val="auto"/>
              </w:rPr>
            </w:pPr>
            <w:r>
              <w:rPr>
                <w:rFonts w:ascii="Arial" w:cs="Arial" w:eastAsia="Arial" w:hAnsi="Arial"/>
                <w:sz w:val="16"/>
                <w:szCs w:val="16"/>
                <w:b w:val="1"/>
                <w:bCs w:val="1"/>
                <w:color w:val="auto"/>
                <w:w w:val="74"/>
              </w:rPr>
              <w: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4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4420" w:type="dxa"/>
            <w:vAlign w:val="bottom"/>
            <w:shd w:val="clear" w:color="auto" w:fill="CCEEFF"/>
          </w:tcPr>
          <w:p>
            <w:pPr>
              <w:spacing w:after="0"/>
              <w:rPr>
                <w:sz w:val="20"/>
                <w:szCs w:val="20"/>
                <w:color w:val="auto"/>
              </w:rPr>
            </w:pPr>
            <w:r>
              <w:rPr>
                <w:rFonts w:ascii="Arial" w:cs="Arial" w:eastAsia="Arial" w:hAnsi="Arial"/>
                <w:sz w:val="18"/>
                <w:szCs w:val="18"/>
                <w:color w:val="auto"/>
              </w:rPr>
              <w:t>Basic income (loss) per common share</w:t>
            </w:r>
          </w:p>
        </w:tc>
        <w:tc>
          <w:tcPr>
            <w:tcW w:w="6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0.85</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0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(0.33)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20" w:type="dxa"/>
            <w:vAlign w:val="bottom"/>
          </w:tcPr>
          <w:p>
            <w:pPr>
              <w:spacing w:after="0"/>
              <w:rPr>
                <w:sz w:val="20"/>
                <w:szCs w:val="20"/>
                <w:color w:val="auto"/>
              </w:rPr>
            </w:pPr>
            <w:r>
              <w:rPr>
                <w:rFonts w:ascii="Arial" w:cs="Arial" w:eastAsia="Arial" w:hAnsi="Arial"/>
                <w:sz w:val="18"/>
                <w:szCs w:val="18"/>
                <w:color w:val="auto"/>
              </w:rPr>
              <w:t>Diluted income (loss) per common share</w:t>
            </w:r>
          </w:p>
        </w:tc>
        <w:tc>
          <w:tcPr>
            <w:tcW w:w="6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0.84</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gridSpan w:val="4"/>
          </w:tcPr>
          <w:p>
            <w:pPr>
              <w:jc w:val="right"/>
              <w:spacing w:after="0"/>
              <w:rPr>
                <w:sz w:val="20"/>
                <w:szCs w:val="20"/>
                <w:color w:val="auto"/>
              </w:rPr>
            </w:pPr>
            <w:r>
              <w:rPr>
                <w:rFonts w:ascii="Arial" w:cs="Arial" w:eastAsia="Arial" w:hAnsi="Arial"/>
                <w:sz w:val="18"/>
                <w:szCs w:val="18"/>
                <w:color w:val="auto"/>
              </w:rPr>
              <w:t>$</w:t>
            </w:r>
          </w:p>
        </w:tc>
        <w:tc>
          <w:tcPr>
            <w:tcW w:w="720" w:type="dxa"/>
            <w:vAlign w:val="bottom"/>
            <w:gridSpan w:val="2"/>
          </w:tcPr>
          <w:p>
            <w:pPr>
              <w:jc w:val="right"/>
              <w:spacing w:after="0"/>
              <w:rPr>
                <w:sz w:val="20"/>
                <w:szCs w:val="20"/>
                <w:color w:val="auto"/>
              </w:rPr>
            </w:pPr>
            <w:r>
              <w:rPr>
                <w:rFonts w:ascii="Arial" w:cs="Arial" w:eastAsia="Arial" w:hAnsi="Arial"/>
                <w:sz w:val="18"/>
                <w:szCs w:val="18"/>
                <w:color w:val="auto"/>
              </w:rPr>
              <w:t>(0.33)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20" w:type="dxa"/>
            <w:vAlign w:val="bottom"/>
            <w:shd w:val="clear" w:color="auto" w:fill="CCEEFF"/>
          </w:tcPr>
          <w:p>
            <w:pPr>
              <w:spacing w:after="0"/>
              <w:rPr>
                <w:sz w:val="20"/>
                <w:szCs w:val="20"/>
                <w:color w:val="auto"/>
              </w:rPr>
            </w:pPr>
            <w:r>
              <w:rPr>
                <w:rFonts w:ascii="Arial" w:cs="Arial" w:eastAsia="Arial" w:hAnsi="Arial"/>
                <w:sz w:val="18"/>
                <w:szCs w:val="18"/>
                <w:color w:val="auto"/>
              </w:rPr>
              <w:t>Basic weighted average common shares outstanding</w:t>
            </w:r>
          </w:p>
        </w:tc>
        <w:tc>
          <w:tcPr>
            <w:tcW w:w="5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18,091</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18,091</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420" w:type="dxa"/>
            <w:vAlign w:val="bottom"/>
          </w:tcPr>
          <w:p>
            <w:pPr>
              <w:spacing w:after="0"/>
              <w:rPr>
                <w:sz w:val="20"/>
                <w:szCs w:val="20"/>
                <w:color w:val="auto"/>
              </w:rPr>
            </w:pPr>
            <w:r>
              <w:rPr>
                <w:rFonts w:ascii="Arial" w:cs="Arial" w:eastAsia="Arial" w:hAnsi="Arial"/>
                <w:sz w:val="18"/>
                <w:szCs w:val="18"/>
                <w:color w:val="auto"/>
              </w:rPr>
              <w:t>Diluted weighted average common shares outstanding</w:t>
            </w:r>
          </w:p>
        </w:tc>
        <w:tc>
          <w:tcPr>
            <w:tcW w:w="5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18,380</w:t>
            </w:r>
          </w:p>
        </w:tc>
        <w:tc>
          <w:tcPr>
            <w:tcW w:w="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18,091</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50"/>
        </w:trPr>
        <w:tc>
          <w:tcPr>
            <w:tcW w:w="20" w:type="dxa"/>
            <w:vAlign w:val="bottom"/>
          </w:tcPr>
          <w:p>
            <w:pPr>
              <w:spacing w:after="0"/>
              <w:rPr>
                <w:sz w:val="24"/>
                <w:szCs w:val="24"/>
                <w:color w:val="auto"/>
              </w:rPr>
            </w:pPr>
          </w:p>
        </w:tc>
        <w:tc>
          <w:tcPr>
            <w:tcW w:w="44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0" w:type="dxa"/>
            <w:vAlign w:val="bottom"/>
          </w:tcPr>
          <w:p>
            <w:pPr>
              <w:jc w:val="right"/>
              <w:ind w:right="31"/>
              <w:spacing w:after="0"/>
              <w:rPr>
                <w:sz w:val="20"/>
                <w:szCs w:val="20"/>
                <w:color w:val="auto"/>
              </w:rPr>
            </w:pPr>
            <w:r>
              <w:rPr>
                <w:rFonts w:ascii="Arial" w:cs="Arial" w:eastAsia="Arial" w:hAnsi="Arial"/>
                <w:sz w:val="18"/>
                <w:szCs w:val="18"/>
                <w:color w:val="auto"/>
              </w:rPr>
              <w:t>4</w:t>
            </w: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040"/>
          </w:cols>
          <w:pgMar w:left="440" w:top="270" w:right="419" w:bottom="1440" w:gutter="0" w:footer="0" w:header="0"/>
        </w:sectPr>
      </w:pPr>
    </w:p>
    <w:bookmarkStart w:id="38" w:name="page39"/>
    <w:bookmarkEnd w:id="38"/>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289165" cy="38100"/>
                    </a:xfrm>
                    <a:prstGeom prst="rect">
                      <a:avLst/>
                    </a:prstGeom>
                    <a:noFill/>
                  </pic:spPr>
                </pic:pic>
              </a:graphicData>
            </a:graphic>
          </wp:anchor>
        </w:drawing>
        <w:t>Note 1: Description of the Transaction</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Purchase Agreement</w:t>
      </w:r>
    </w:p>
    <w:p>
      <w:pPr>
        <w:spacing w:after="0" w:line="117" w:lineRule="exact"/>
        <w:rPr>
          <w:sz w:val="20"/>
          <w:szCs w:val="20"/>
          <w:color w:val="auto"/>
        </w:rPr>
      </w:pPr>
    </w:p>
    <w:p>
      <w:pPr>
        <w:ind w:right="180"/>
        <w:spacing w:after="0" w:line="264" w:lineRule="auto"/>
        <w:rPr>
          <w:sz w:val="20"/>
          <w:szCs w:val="20"/>
          <w:color w:val="auto"/>
        </w:rPr>
      </w:pPr>
      <w:r>
        <w:rPr>
          <w:rFonts w:ascii="Arial" w:cs="Arial" w:eastAsia="Arial" w:hAnsi="Arial"/>
          <w:sz w:val="18"/>
          <w:szCs w:val="18"/>
          <w:color w:val="auto"/>
        </w:rPr>
        <w:t>On November 26, 2018, Forrester entered into the Merger Agreement by and among Supernova, Sirius, Founder Stockholders of Sirius and Fortis Advisors LLC, solely in its capacity as the Stockholder Representative, pursuant to which Forrester acquired Sirius. The transaction was completed on January 3, 2019.</w:t>
      </w:r>
    </w:p>
    <w:p>
      <w:pPr>
        <w:spacing w:after="0" w:line="181" w:lineRule="exact"/>
        <w:rPr>
          <w:sz w:val="20"/>
          <w:szCs w:val="20"/>
          <w:color w:val="auto"/>
        </w:rPr>
      </w:pPr>
    </w:p>
    <w:p>
      <w:pPr>
        <w:ind w:right="420"/>
        <w:spacing w:after="0" w:line="308" w:lineRule="auto"/>
        <w:rPr>
          <w:sz w:val="20"/>
          <w:szCs w:val="20"/>
          <w:color w:val="auto"/>
        </w:rPr>
      </w:pPr>
      <w:r>
        <w:rPr>
          <w:rFonts w:ascii="Arial" w:cs="Arial" w:eastAsia="Arial" w:hAnsi="Arial"/>
          <w:sz w:val="17"/>
          <w:szCs w:val="17"/>
          <w:color w:val="auto"/>
        </w:rPr>
        <w:t>Subject to the terms and conditions of the Merger Agreement, as consideration for the acquisition of Sirius, Forrester paid to Stockholders of Sirius approximately $247.3 million in cash (the “Cash Consideration”), subject to certain adjustments set forth in the Merger Agreement.</w:t>
      </w:r>
    </w:p>
    <w:p>
      <w:pPr>
        <w:spacing w:after="0" w:line="25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Credit Agreement Borrowing</w:t>
      </w:r>
    </w:p>
    <w:p>
      <w:pPr>
        <w:spacing w:after="0" w:line="117" w:lineRule="exact"/>
        <w:rPr>
          <w:sz w:val="20"/>
          <w:szCs w:val="20"/>
          <w:color w:val="auto"/>
        </w:rPr>
      </w:pPr>
    </w:p>
    <w:p>
      <w:pPr>
        <w:ind w:right="80"/>
        <w:spacing w:after="0" w:line="271" w:lineRule="auto"/>
        <w:rPr>
          <w:sz w:val="20"/>
          <w:szCs w:val="20"/>
          <w:color w:val="auto"/>
        </w:rPr>
      </w:pPr>
      <w:r>
        <w:rPr>
          <w:rFonts w:ascii="Arial" w:cs="Arial" w:eastAsia="Arial" w:hAnsi="Arial"/>
          <w:sz w:val="17"/>
          <w:szCs w:val="17"/>
          <w:color w:val="auto"/>
        </w:rPr>
        <w:t>On January 3, 2019, the Company entered into a $125 million five-year senior secured Term Loan and a $75 million senior secured Revolving Credit Facility. On the Closing Date, all of the proceeds of the Term Loan and $50 million of proceeds of the loans borrowed under the Revolving Credit Facility were used to pay a portion of the Cash Consideration. The loans under each of the Credit Facilities bear interest, at Forrester’s option, at a rate per annum equal to either (i) the London Interbank Offering Rate (“LIBOR”) for the applicable interest period plus a margin that is between 1.75% and 2.50%, based on Forrester’s consolidated total leverage ratio, or (ii) the applicable base rate plus a margin that is between 0.75% and 1.50%, based on Forrester’s consolidated total leverage ratio. A commitment fee, at a rate of between 0.25% to 0.35% per annum, based on Forrester’s consolidated total leverage ratio, is payable on the unused portion of the Revolving Credit Facility quarterly, in arrears, and on the date of termination or expiration of the Revolving Credit Facility.</w:t>
      </w:r>
    </w:p>
    <w:p>
      <w:pPr>
        <w:spacing w:after="0" w:line="2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 Basis of Pro Forma Presentation</w:t>
      </w:r>
    </w:p>
    <w:p>
      <w:pPr>
        <w:spacing w:after="0" w:line="121" w:lineRule="exact"/>
        <w:rPr>
          <w:sz w:val="20"/>
          <w:szCs w:val="20"/>
          <w:color w:val="auto"/>
        </w:rPr>
      </w:pPr>
    </w:p>
    <w:p>
      <w:pPr>
        <w:ind w:right="160"/>
        <w:spacing w:after="0" w:line="257" w:lineRule="auto"/>
        <w:rPr>
          <w:sz w:val="20"/>
          <w:szCs w:val="20"/>
          <w:color w:val="auto"/>
        </w:rPr>
      </w:pPr>
      <w:r>
        <w:rPr>
          <w:rFonts w:ascii="Arial" w:cs="Arial" w:eastAsia="Arial" w:hAnsi="Arial"/>
          <w:sz w:val="18"/>
          <w:szCs w:val="18"/>
          <w:color w:val="auto"/>
        </w:rPr>
        <w:t>The accompanying Unaudited Pro Forma Combined Financial Information has been prepared in accordance with Article 11 of Regulation S-X and has been derived from the audited and unaudited financial information of Forrester and Sirius. The financial information has been adjusted in the accompanying Unaudited Pro Forma Combined Financial Information to give effect to pro forma events that are (1) directly attributable to the transaction, (2) factually supportable and (3) with respect to the unaudited pro forma combined statement of operations, expected to have a continuing impact on the combined results of operations of Forrester.</w:t>
      </w:r>
    </w:p>
    <w:p>
      <w:pPr>
        <w:spacing w:after="0" w:line="188" w:lineRule="exact"/>
        <w:rPr>
          <w:sz w:val="20"/>
          <w:szCs w:val="20"/>
          <w:color w:val="auto"/>
        </w:rPr>
      </w:pPr>
    </w:p>
    <w:p>
      <w:pPr>
        <w:ind w:right="340"/>
        <w:spacing w:after="0" w:line="259" w:lineRule="auto"/>
        <w:rPr>
          <w:sz w:val="20"/>
          <w:szCs w:val="20"/>
          <w:color w:val="auto"/>
        </w:rPr>
      </w:pPr>
      <w:r>
        <w:rPr>
          <w:rFonts w:ascii="Arial" w:cs="Arial" w:eastAsia="Arial" w:hAnsi="Arial"/>
          <w:sz w:val="18"/>
          <w:szCs w:val="18"/>
          <w:color w:val="auto"/>
        </w:rPr>
        <w:t xml:space="preserve">The Unaudited Pro Forma Combined Financial Information was prepared using the acquisition method of accounting in accordance with ASC 805, which requires, among other things, that assets acquired and liabilities assumed in a business combination be recognized at their fair values as of the acquisition date. The acquisition method of accounting, in accordance with ASC 805, uses the fair value concepts defined in ASC 820, </w:t>
      </w:r>
      <w:r>
        <w:rPr>
          <w:rFonts w:ascii="Arial" w:cs="Arial" w:eastAsia="Arial" w:hAnsi="Arial"/>
          <w:sz w:val="18"/>
          <w:szCs w:val="18"/>
          <w:i w:val="1"/>
          <w:iCs w:val="1"/>
          <w:color w:val="auto"/>
        </w:rPr>
        <w:t>Fair Value</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Measurement </w:t>
      </w:r>
      <w:r>
        <w:rPr>
          <w:rFonts w:ascii="Arial" w:cs="Arial" w:eastAsia="Arial" w:hAnsi="Arial"/>
          <w:sz w:val="18"/>
          <w:szCs w:val="18"/>
          <w:color w:val="auto"/>
        </w:rPr>
        <w:t>(“ASC 820”).</w:t>
      </w:r>
    </w:p>
    <w:p>
      <w:pPr>
        <w:spacing w:after="0" w:line="187" w:lineRule="exact"/>
        <w:rPr>
          <w:sz w:val="20"/>
          <w:szCs w:val="20"/>
          <w:color w:val="auto"/>
        </w:rPr>
      </w:pPr>
    </w:p>
    <w:p>
      <w:pPr>
        <w:ind w:right="180"/>
        <w:spacing w:after="0" w:line="272" w:lineRule="auto"/>
        <w:rPr>
          <w:sz w:val="20"/>
          <w:szCs w:val="20"/>
          <w:color w:val="auto"/>
        </w:rPr>
      </w:pPr>
      <w:r>
        <w:rPr>
          <w:rFonts w:ascii="Arial" w:cs="Arial" w:eastAsia="Arial" w:hAnsi="Arial"/>
          <w:sz w:val="17"/>
          <w:szCs w:val="17"/>
          <w:color w:val="auto"/>
        </w:rPr>
        <w:t>ASC 820 defines fair value, establishes the framework for measuring fair value for any asset acquired or liability assumed under GAAP, expands disclosures about fair value measurements, and specifies a hierarchy of valuation techniques based on the nature of the inputs used to develop the fair value measurements. Fair value is defined in ASC 820 as “the price that would be received to sell an asset or paid to transfer a liability in an orderly transaction between market participants at the measurement date.” This is an exit price concept for the valuation of an asset or liability. Market participants are assumed to be buyers or sellers in the most advantageous market for the asset or liability. Fair value measurement for an asset assumes the highest and best use by these market participants, and as a result, assets may be required to be recorded which are not intended to be used or sold. Additionally, the fair value may not reflect management’s intended use for those assets.</w:t>
      </w:r>
    </w:p>
    <w:p>
      <w:pPr>
        <w:spacing w:after="0" w:line="178"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Fair value measurements can be highly subjective and it is possible the application of reasonable judgment could develop different assumptions resulting in a range of alternative estimates using the same facts and circumstances.</w:t>
      </w:r>
    </w:p>
    <w:p>
      <w:pPr>
        <w:spacing w:after="0" w:line="170" w:lineRule="exact"/>
        <w:rPr>
          <w:sz w:val="20"/>
          <w:szCs w:val="20"/>
          <w:color w:val="auto"/>
        </w:rPr>
      </w:pPr>
    </w:p>
    <w:p>
      <w:pPr>
        <w:ind w:right="20"/>
        <w:spacing w:after="0" w:line="279" w:lineRule="auto"/>
        <w:rPr>
          <w:sz w:val="20"/>
          <w:szCs w:val="20"/>
          <w:color w:val="auto"/>
        </w:rPr>
      </w:pPr>
      <w:r>
        <w:rPr>
          <w:rFonts w:ascii="Arial" w:cs="Arial" w:eastAsia="Arial" w:hAnsi="Arial"/>
          <w:sz w:val="17"/>
          <w:szCs w:val="17"/>
          <w:color w:val="auto"/>
        </w:rPr>
        <w:t>Fair value estimates were determined based on discussions between Forrester and Sirius management, due diligence efforts, and information available in public filings. The allocation of the aggregate transaction consideration used in the preliminary Unaudited Pro Forma Combined Financial Information is based on initial estimates. The final determination of the allocation of the aggregate transaction consideration will be based on the actual tangible and intangible assets and the liabilities of Sirius at the effective time of the transaction (see Note 5).</w:t>
      </w:r>
    </w:p>
    <w:p>
      <w:pPr>
        <w:spacing w:after="0" w:line="10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020"/>
          </w:cols>
          <w:pgMar w:left="440" w:top="270" w:right="439" w:bottom="1440" w:gutter="0" w:footer="0" w:header="0"/>
        </w:sectPr>
      </w:pPr>
    </w:p>
    <w:bookmarkStart w:id="39" w:name="page40"/>
    <w:bookmarkEnd w:id="39"/>
    <w:p>
      <w:pPr>
        <w:ind w:right="540"/>
        <w:spacing w:after="0" w:line="342"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Sirius’ assets acquired and liabilities assumed were recorded at their fair value at the transaction date. Forrester acquired Sirius for approximately $247.3 million of contractual cash consideration, which is subject to certain adjustments as set forth in the Merger Agreement.</w:t>
      </w:r>
    </w:p>
    <w:p>
      <w:pPr>
        <w:spacing w:after="0" w:line="124"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The Unaudited Pro Forma Combined Financial Information is presented solely for informational purposes and is not necessarily indicative of the combined results of operations or financial position that might have been achieved for the periods or dates indicated, nor is it necessarily indicative of the future results of the combined company. The Unaudited Pro Forma Combined Financial Information has not been adjusted to give effect to certain expected financial benefits of the transaction, such as cost synergies or revenue synergies, or the anticipated costs to achieve these benefits, including the cost of integration activities. Also, the Unaudited Pro Forma Combined Financial Information does not reflect possible adjustments related to integration activities that have yet to be determined or transaction or other costs following the combination that are not expected to have a continuing impact on the business of the combined company.</w:t>
      </w:r>
    </w:p>
    <w:p>
      <w:pPr>
        <w:spacing w:after="0" w:line="189" w:lineRule="exact"/>
        <w:rPr>
          <w:sz w:val="20"/>
          <w:szCs w:val="20"/>
          <w:color w:val="auto"/>
        </w:rPr>
      </w:pPr>
    </w:p>
    <w:p>
      <w:pPr>
        <w:ind w:right="260"/>
        <w:spacing w:after="0" w:line="257" w:lineRule="auto"/>
        <w:rPr>
          <w:sz w:val="20"/>
          <w:szCs w:val="20"/>
          <w:color w:val="auto"/>
        </w:rPr>
      </w:pPr>
      <w:r>
        <w:rPr>
          <w:rFonts w:ascii="Arial" w:cs="Arial" w:eastAsia="Arial" w:hAnsi="Arial"/>
          <w:sz w:val="18"/>
          <w:szCs w:val="18"/>
          <w:color w:val="auto"/>
        </w:rPr>
        <w:t>Further, one-time transaction-related costs, which total $4.9 million, incurred prior to or anticipated to be incurred prior to, or concurrent with, the closing of the transaction are not included in the unaudited pro forma combined statement of operations as these costs are not expected to have a continuing impact on the business of the combined company. Of these $4.9 million of transaction costs, $1.6 million relates to costs not incurred or recognized as of the unaudited pro forma combined balance sheet date of December 31, 2018, primarily related to deal advisory and legal fees. These costs have been included in the unaudited pro forma combined balance sheet.</w:t>
      </w:r>
    </w:p>
    <w:p>
      <w:pPr>
        <w:spacing w:after="0" w:line="188" w:lineRule="exact"/>
        <w:rPr>
          <w:sz w:val="20"/>
          <w:szCs w:val="20"/>
          <w:color w:val="auto"/>
        </w:rPr>
      </w:pPr>
    </w:p>
    <w:p>
      <w:pPr>
        <w:spacing w:after="0"/>
        <w:rPr>
          <w:sz w:val="20"/>
          <w:szCs w:val="20"/>
          <w:color w:val="auto"/>
        </w:rPr>
      </w:pPr>
      <w:r>
        <w:rPr>
          <w:rFonts w:ascii="Arial" w:cs="Arial" w:eastAsia="Arial" w:hAnsi="Arial"/>
          <w:sz w:val="17"/>
          <w:szCs w:val="17"/>
          <w:color w:val="auto"/>
        </w:rPr>
        <w:t>Certain amounts from the historical financial statements of Sirius were reclassified to conform the presentation to that of Forrester (see Note 8).</w:t>
      </w:r>
    </w:p>
    <w:p>
      <w:pPr>
        <w:spacing w:after="0" w:line="34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3: Accounting Policies</w:t>
      </w:r>
    </w:p>
    <w:p>
      <w:pPr>
        <w:spacing w:after="0" w:line="121" w:lineRule="exact"/>
        <w:rPr>
          <w:sz w:val="20"/>
          <w:szCs w:val="20"/>
          <w:color w:val="auto"/>
        </w:rPr>
      </w:pPr>
    </w:p>
    <w:p>
      <w:pPr>
        <w:ind w:right="40"/>
        <w:spacing w:after="0" w:line="271" w:lineRule="auto"/>
        <w:rPr>
          <w:sz w:val="20"/>
          <w:szCs w:val="20"/>
          <w:color w:val="auto"/>
        </w:rPr>
      </w:pPr>
      <w:r>
        <w:rPr>
          <w:rFonts w:ascii="Arial" w:cs="Arial" w:eastAsia="Arial" w:hAnsi="Arial"/>
          <w:sz w:val="17"/>
          <w:szCs w:val="17"/>
          <w:color w:val="auto"/>
        </w:rPr>
        <w:t xml:space="preserve">For purposes of presenting the unaudited pro forma combined financial statements and related information, Forrester has completed a preliminary review of Sirius’ significant accounting policies for purposes of identifying adjustments to align with Forrester accounting policies. At this time, the Company has not identified any material differences in these policies other than accounting for contract costs with respect to Accounting Standards Update (“ASU”) 2014-09, </w:t>
      </w:r>
      <w:r>
        <w:rPr>
          <w:rFonts w:ascii="Arial" w:cs="Arial" w:eastAsia="Arial" w:hAnsi="Arial"/>
          <w:sz w:val="17"/>
          <w:szCs w:val="17"/>
          <w:i w:val="1"/>
          <w:iCs w:val="1"/>
          <w:color w:val="auto"/>
        </w:rPr>
        <w:t>Revenue from Contracts with Customers (Topic 606)</w:t>
      </w:r>
      <w:r>
        <w:rPr>
          <w:rFonts w:ascii="Arial" w:cs="Arial" w:eastAsia="Arial" w:hAnsi="Arial"/>
          <w:sz w:val="17"/>
          <w:szCs w:val="17"/>
          <w:color w:val="auto"/>
        </w:rPr>
        <w:t xml:space="preserve"> (“ASC 606”). Historically, Sirius expensed the majority of these contract costs as they were incurred. However, under ASC 606, these contract costs will be capitalized and amortized. For purposes of the unaudited pro forma combined balance sheet, no adjustment related to these capitalized contract costs has been reflected as these amounts will be eliminated in purchase accounting and included within the customer relationship intangible asset. Review of such accounting policies will continue and policy differences may be identified at a later date and may be deemed material at that time.</w:t>
      </w:r>
    </w:p>
    <w:p>
      <w:pPr>
        <w:spacing w:after="0" w:line="2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4: Estimated Transaction Consideration</w:t>
      </w:r>
    </w:p>
    <w:p>
      <w:pPr>
        <w:spacing w:after="0" w:line="121"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ASC 805 requires acquirers of a business to recognize the consideration transferred for the acquiree and the assets acquired and liabilities assumed in the exchange for the acquiree as part of applying the acquisition method.</w:t>
      </w:r>
    </w:p>
    <w:p>
      <w:pPr>
        <w:spacing w:after="0" w:line="170"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The Company paid $247.3 million at closing, which included the purchase price of $245.0 million plus an adjustment for the estimate of certain working capital items, which is subject to adjustment as set forth in the Merger Agreement. In connection with the Acquisition, the Company borrowed approximately $175 million under its Credit Facilities. There were no liabilities incurred to former owners or equity interests issued by the acquirer to be considered as a component of the transaction consideration.</w:t>
      </w:r>
    </w:p>
    <w:p>
      <w:pPr>
        <w:spacing w:after="0" w:line="1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020"/>
          </w:cols>
          <w:pgMar w:left="440" w:top="274" w:right="439" w:bottom="1440" w:gutter="0" w:footer="0" w:header="0"/>
        </w:sectPr>
      </w:pPr>
    </w:p>
    <w:bookmarkStart w:id="40" w:name="page41"/>
    <w:bookmarkEnd w:id="40"/>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289165" cy="38735"/>
                    </a:xfrm>
                    <a:prstGeom prst="rect">
                      <a:avLst/>
                    </a:prstGeom>
                    <a:noFill/>
                  </pic:spPr>
                </pic:pic>
              </a:graphicData>
            </a:graphic>
          </wp:anchor>
        </w:drawing>
        <w:t>Note 5: Allocation of Purchase Price to Net Assets</w:t>
      </w:r>
    </w:p>
    <w:p>
      <w:pPr>
        <w:spacing w:after="0" w:line="121"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The following is a preliminary estimate of the assets acquired and the liabilities assumed by Forrester in the transaction, reconciled to the estimated transaction consideration (amounts in thousands):</w:t>
      </w:r>
    </w:p>
    <w:p>
      <w:pPr>
        <w:spacing w:after="0" w:line="177" w:lineRule="exact"/>
        <w:rPr>
          <w:sz w:val="20"/>
          <w:szCs w:val="20"/>
          <w:color w:val="auto"/>
        </w:rPr>
      </w:pPr>
    </w:p>
    <w:tbl>
      <w:tblPr>
        <w:tblLayout w:type="fixed"/>
        <w:tblInd w:w="1780" w:type="dxa"/>
        <w:tblCellMar>
          <w:top w:w="0" w:type="dxa"/>
          <w:left w:w="0" w:type="dxa"/>
          <w:bottom w:w="0" w:type="dxa"/>
          <w:right w:w="0" w:type="dxa"/>
        </w:tblCellMar>
      </w:tblPr>
      <w:tr>
        <w:trPr>
          <w:trHeight w:val="161"/>
        </w:trPr>
        <w:tc>
          <w:tcPr>
            <w:tcW w:w="63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140" w:type="dxa"/>
            <w:vAlign w:val="bottom"/>
            <w:gridSpan w:val="3"/>
          </w:tcPr>
          <w:p>
            <w:pPr>
              <w:jc w:val="right"/>
              <w:ind w:right="200"/>
              <w:spacing w:after="0"/>
              <w:rPr>
                <w:sz w:val="20"/>
                <w:szCs w:val="20"/>
                <w:color w:val="auto"/>
              </w:rPr>
            </w:pPr>
            <w:r>
              <w:rPr>
                <w:rFonts w:ascii="Arial" w:cs="Arial" w:eastAsia="Arial" w:hAnsi="Arial"/>
                <w:sz w:val="14"/>
                <w:szCs w:val="14"/>
                <w:b w:val="1"/>
                <w:bCs w:val="1"/>
                <w:color w:val="auto"/>
                <w:w w:val="94"/>
              </w:rPr>
              <w:t>Amounts as of</w:t>
            </w:r>
          </w:p>
        </w:tc>
      </w:tr>
      <w:tr>
        <w:trPr>
          <w:trHeight w:val="171"/>
        </w:trPr>
        <w:tc>
          <w:tcPr>
            <w:tcW w:w="6320" w:type="dxa"/>
            <w:vAlign w:val="bottom"/>
          </w:tcPr>
          <w:p>
            <w:pPr>
              <w:spacing w:after="0"/>
              <w:rPr>
                <w:sz w:val="14"/>
                <w:szCs w:val="14"/>
                <w:color w:val="auto"/>
              </w:rPr>
            </w:pPr>
          </w:p>
        </w:tc>
        <w:tc>
          <w:tcPr>
            <w:tcW w:w="1160" w:type="dxa"/>
            <w:vAlign w:val="bottom"/>
            <w:gridSpan w:val="4"/>
          </w:tcPr>
          <w:p>
            <w:pPr>
              <w:ind w:left="20"/>
              <w:spacing w:after="0"/>
              <w:rPr>
                <w:sz w:val="20"/>
                <w:szCs w:val="20"/>
                <w:color w:val="auto"/>
              </w:rPr>
            </w:pPr>
            <w:r>
              <w:rPr>
                <w:rFonts w:ascii="Arial" w:cs="Arial" w:eastAsia="Arial" w:hAnsi="Arial"/>
                <w:sz w:val="14"/>
                <w:szCs w:val="14"/>
                <w:b w:val="1"/>
                <w:bCs w:val="1"/>
                <w:color w:val="auto"/>
              </w:rPr>
              <w:t>Acquisition Date</w:t>
            </w:r>
          </w:p>
        </w:tc>
      </w:tr>
      <w:tr>
        <w:trPr>
          <w:trHeight w:val="210"/>
        </w:trPr>
        <w:tc>
          <w:tcPr>
            <w:tcW w:w="63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Cash and cash equivalents</w:t>
            </w:r>
          </w:p>
        </w:tc>
        <w:tc>
          <w:tcPr>
            <w:tcW w:w="2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7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7,205</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6320" w:type="dxa"/>
            <w:vAlign w:val="bottom"/>
          </w:tcPr>
          <w:p>
            <w:pPr>
              <w:spacing w:after="0"/>
              <w:rPr>
                <w:sz w:val="20"/>
                <w:szCs w:val="20"/>
                <w:color w:val="auto"/>
              </w:rPr>
            </w:pPr>
            <w:r>
              <w:rPr>
                <w:rFonts w:ascii="Arial" w:cs="Arial" w:eastAsia="Arial" w:hAnsi="Arial"/>
                <w:sz w:val="18"/>
                <w:szCs w:val="18"/>
                <w:color w:val="auto"/>
              </w:rPr>
              <w:t>Current assets</w:t>
            </w: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15,383</w:t>
            </w:r>
          </w:p>
        </w:tc>
        <w:tc>
          <w:tcPr>
            <w:tcW w:w="100" w:type="dxa"/>
            <w:vAlign w:val="bottom"/>
          </w:tcPr>
          <w:p>
            <w:pPr>
              <w:spacing w:after="0"/>
              <w:rPr>
                <w:sz w:val="18"/>
                <w:szCs w:val="18"/>
                <w:color w:val="auto"/>
              </w:rPr>
            </w:pPr>
          </w:p>
        </w:tc>
      </w:tr>
      <w:tr>
        <w:trPr>
          <w:trHeight w:val="216"/>
        </w:trPr>
        <w:tc>
          <w:tcPr>
            <w:tcW w:w="6320" w:type="dxa"/>
            <w:vAlign w:val="bottom"/>
            <w:shd w:val="clear" w:color="auto" w:fill="CCEEFF"/>
          </w:tcPr>
          <w:p>
            <w:pPr>
              <w:spacing w:after="0"/>
              <w:rPr>
                <w:sz w:val="20"/>
                <w:szCs w:val="20"/>
                <w:color w:val="auto"/>
              </w:rPr>
            </w:pPr>
            <w:r>
              <w:rPr>
                <w:rFonts w:ascii="Arial" w:cs="Arial" w:eastAsia="Arial" w:hAnsi="Arial"/>
                <w:sz w:val="18"/>
                <w:szCs w:val="18"/>
                <w:color w:val="auto"/>
              </w:rPr>
              <w:t>Property and equipment, net</w:t>
            </w:r>
          </w:p>
        </w:tc>
        <w:tc>
          <w:tcPr>
            <w:tcW w:w="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3,451</w:t>
            </w:r>
          </w:p>
        </w:tc>
        <w:tc>
          <w:tcPr>
            <w:tcW w:w="100" w:type="dxa"/>
            <w:vAlign w:val="bottom"/>
            <w:shd w:val="clear" w:color="auto" w:fill="CCEEFF"/>
          </w:tcPr>
          <w:p>
            <w:pPr>
              <w:spacing w:after="0"/>
              <w:rPr>
                <w:sz w:val="18"/>
                <w:szCs w:val="18"/>
                <w:color w:val="auto"/>
              </w:rPr>
            </w:pPr>
          </w:p>
        </w:tc>
      </w:tr>
      <w:tr>
        <w:trPr>
          <w:trHeight w:val="216"/>
        </w:trPr>
        <w:tc>
          <w:tcPr>
            <w:tcW w:w="6320" w:type="dxa"/>
            <w:vAlign w:val="bottom"/>
          </w:tcPr>
          <w:p>
            <w:pPr>
              <w:spacing w:after="0"/>
              <w:rPr>
                <w:sz w:val="20"/>
                <w:szCs w:val="20"/>
                <w:color w:val="auto"/>
              </w:rPr>
            </w:pPr>
            <w:r>
              <w:rPr>
                <w:rFonts w:ascii="Arial" w:cs="Arial" w:eastAsia="Arial" w:hAnsi="Arial"/>
                <w:sz w:val="18"/>
                <w:szCs w:val="18"/>
                <w:color w:val="auto"/>
              </w:rPr>
              <w:t>Intangible assets</w:t>
            </w: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112,000</w:t>
            </w:r>
          </w:p>
        </w:tc>
        <w:tc>
          <w:tcPr>
            <w:tcW w:w="100" w:type="dxa"/>
            <w:vAlign w:val="bottom"/>
          </w:tcPr>
          <w:p>
            <w:pPr>
              <w:spacing w:after="0"/>
              <w:rPr>
                <w:sz w:val="18"/>
                <w:szCs w:val="18"/>
                <w:color w:val="auto"/>
              </w:rPr>
            </w:pPr>
          </w:p>
        </w:tc>
      </w:tr>
      <w:tr>
        <w:trPr>
          <w:trHeight w:val="216"/>
        </w:trPr>
        <w:tc>
          <w:tcPr>
            <w:tcW w:w="6320" w:type="dxa"/>
            <w:vAlign w:val="bottom"/>
            <w:shd w:val="clear" w:color="auto" w:fill="CCEEFF"/>
          </w:tcPr>
          <w:p>
            <w:pPr>
              <w:spacing w:after="0"/>
              <w:rPr>
                <w:sz w:val="20"/>
                <w:szCs w:val="20"/>
                <w:color w:val="auto"/>
              </w:rPr>
            </w:pPr>
            <w:r>
              <w:rPr>
                <w:rFonts w:ascii="Arial" w:cs="Arial" w:eastAsia="Arial" w:hAnsi="Arial"/>
                <w:sz w:val="18"/>
                <w:szCs w:val="18"/>
                <w:color w:val="auto"/>
              </w:rPr>
              <w:t>Other assets</w:t>
            </w:r>
          </w:p>
        </w:tc>
        <w:tc>
          <w:tcPr>
            <w:tcW w:w="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269</w:t>
            </w:r>
          </w:p>
        </w:tc>
        <w:tc>
          <w:tcPr>
            <w:tcW w:w="100" w:type="dxa"/>
            <w:vAlign w:val="bottom"/>
            <w:shd w:val="clear" w:color="auto" w:fill="CCEEFF"/>
          </w:tcPr>
          <w:p>
            <w:pPr>
              <w:spacing w:after="0"/>
              <w:rPr>
                <w:sz w:val="18"/>
                <w:szCs w:val="18"/>
                <w:color w:val="auto"/>
              </w:rPr>
            </w:pPr>
          </w:p>
        </w:tc>
      </w:tr>
      <w:tr>
        <w:trPr>
          <w:trHeight w:val="216"/>
        </w:trPr>
        <w:tc>
          <w:tcPr>
            <w:tcW w:w="6320" w:type="dxa"/>
            <w:vAlign w:val="bottom"/>
          </w:tcPr>
          <w:p>
            <w:pPr>
              <w:spacing w:after="0"/>
              <w:rPr>
                <w:sz w:val="20"/>
                <w:szCs w:val="20"/>
                <w:color w:val="auto"/>
              </w:rPr>
            </w:pPr>
            <w:r>
              <w:rPr>
                <w:rFonts w:ascii="Arial" w:cs="Arial" w:eastAsia="Arial" w:hAnsi="Arial"/>
                <w:sz w:val="18"/>
                <w:szCs w:val="18"/>
                <w:color w:val="auto"/>
              </w:rPr>
              <w:t>Deferred revenue</w:t>
            </w: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80" w:type="dxa"/>
            <w:vAlign w:val="bottom"/>
            <w:gridSpan w:val="2"/>
          </w:tcPr>
          <w:p>
            <w:pPr>
              <w:jc w:val="right"/>
              <w:ind w:right="60"/>
              <w:spacing w:after="0"/>
              <w:rPr>
                <w:sz w:val="20"/>
                <w:szCs w:val="20"/>
                <w:color w:val="auto"/>
              </w:rPr>
            </w:pPr>
            <w:r>
              <w:rPr>
                <w:rFonts w:ascii="Arial" w:cs="Arial" w:eastAsia="Arial" w:hAnsi="Arial"/>
                <w:sz w:val="18"/>
                <w:szCs w:val="18"/>
                <w:color w:val="auto"/>
              </w:rPr>
              <w:t>(21,336)</w:t>
            </w:r>
          </w:p>
        </w:tc>
      </w:tr>
      <w:tr>
        <w:trPr>
          <w:trHeight w:val="216"/>
        </w:trPr>
        <w:tc>
          <w:tcPr>
            <w:tcW w:w="6320" w:type="dxa"/>
            <w:vAlign w:val="bottom"/>
            <w:shd w:val="clear" w:color="auto" w:fill="CCEEFF"/>
          </w:tcPr>
          <w:p>
            <w:pPr>
              <w:spacing w:after="0"/>
              <w:rPr>
                <w:sz w:val="20"/>
                <w:szCs w:val="20"/>
                <w:color w:val="auto"/>
              </w:rPr>
            </w:pPr>
            <w:r>
              <w:rPr>
                <w:rFonts w:ascii="Arial" w:cs="Arial" w:eastAsia="Arial" w:hAnsi="Arial"/>
                <w:sz w:val="18"/>
                <w:szCs w:val="18"/>
                <w:color w:val="auto"/>
              </w:rPr>
              <w:t>Current liabilities</w:t>
            </w:r>
          </w:p>
        </w:tc>
        <w:tc>
          <w:tcPr>
            <w:tcW w:w="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(9,025)</w:t>
            </w:r>
          </w:p>
        </w:tc>
      </w:tr>
      <w:tr>
        <w:trPr>
          <w:trHeight w:val="216"/>
        </w:trPr>
        <w:tc>
          <w:tcPr>
            <w:tcW w:w="6320" w:type="dxa"/>
            <w:vAlign w:val="bottom"/>
          </w:tcPr>
          <w:p>
            <w:pPr>
              <w:spacing w:after="0"/>
              <w:rPr>
                <w:sz w:val="20"/>
                <w:szCs w:val="20"/>
                <w:color w:val="auto"/>
              </w:rPr>
            </w:pPr>
            <w:r>
              <w:rPr>
                <w:rFonts w:ascii="Arial" w:cs="Arial" w:eastAsia="Arial" w:hAnsi="Arial"/>
                <w:sz w:val="18"/>
                <w:szCs w:val="18"/>
                <w:color w:val="auto"/>
              </w:rPr>
              <w:t>Unfavorable leasehold interests</w:t>
            </w: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80" w:type="dxa"/>
            <w:vAlign w:val="bottom"/>
            <w:gridSpan w:val="2"/>
          </w:tcPr>
          <w:p>
            <w:pPr>
              <w:jc w:val="right"/>
              <w:ind w:right="60"/>
              <w:spacing w:after="0"/>
              <w:rPr>
                <w:sz w:val="20"/>
                <w:szCs w:val="20"/>
                <w:color w:val="auto"/>
              </w:rPr>
            </w:pPr>
            <w:r>
              <w:rPr>
                <w:rFonts w:ascii="Arial" w:cs="Arial" w:eastAsia="Arial" w:hAnsi="Arial"/>
                <w:sz w:val="18"/>
                <w:szCs w:val="18"/>
                <w:color w:val="auto"/>
              </w:rPr>
              <w:t>(1,380)</w:t>
            </w:r>
          </w:p>
        </w:tc>
      </w:tr>
      <w:tr>
        <w:trPr>
          <w:trHeight w:val="216"/>
        </w:trPr>
        <w:tc>
          <w:tcPr>
            <w:tcW w:w="6320" w:type="dxa"/>
            <w:vAlign w:val="bottom"/>
            <w:shd w:val="clear" w:color="auto" w:fill="CCEEFF"/>
          </w:tcPr>
          <w:p>
            <w:pPr>
              <w:spacing w:after="0"/>
              <w:rPr>
                <w:sz w:val="20"/>
                <w:szCs w:val="20"/>
                <w:color w:val="auto"/>
              </w:rPr>
            </w:pPr>
            <w:r>
              <w:rPr>
                <w:rFonts w:ascii="Arial" w:cs="Arial" w:eastAsia="Arial" w:hAnsi="Arial"/>
                <w:sz w:val="18"/>
                <w:szCs w:val="18"/>
                <w:color w:val="auto"/>
              </w:rPr>
              <w:t>Deferred tax liability, net</w:t>
            </w:r>
          </w:p>
        </w:tc>
        <w:tc>
          <w:tcPr>
            <w:tcW w:w="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(23,912)</w:t>
            </w:r>
          </w:p>
        </w:tc>
      </w:tr>
      <w:tr>
        <w:trPr>
          <w:trHeight w:val="223"/>
        </w:trPr>
        <w:tc>
          <w:tcPr>
            <w:tcW w:w="6320" w:type="dxa"/>
            <w:vAlign w:val="bottom"/>
          </w:tcPr>
          <w:p>
            <w:pPr>
              <w:spacing w:after="0"/>
              <w:rPr>
                <w:sz w:val="20"/>
                <w:szCs w:val="20"/>
                <w:color w:val="auto"/>
              </w:rPr>
            </w:pPr>
            <w:r>
              <w:rPr>
                <w:rFonts w:ascii="Arial" w:cs="Arial" w:eastAsia="Arial" w:hAnsi="Arial"/>
                <w:sz w:val="18"/>
                <w:szCs w:val="18"/>
                <w:color w:val="auto"/>
              </w:rPr>
              <w:t>Fair value of assets acquired and liabilities assumed, excluding goodwill</w:t>
            </w:r>
          </w:p>
        </w:tc>
        <w:tc>
          <w:tcPr>
            <w:tcW w:w="20" w:type="dxa"/>
            <w:vAlign w:val="bottom"/>
          </w:tcPr>
          <w:p>
            <w:pPr>
              <w:spacing w:after="0"/>
              <w:rPr>
                <w:sz w:val="19"/>
                <w:szCs w:val="19"/>
                <w:color w:val="auto"/>
              </w:rPr>
            </w:pPr>
          </w:p>
        </w:tc>
        <w:tc>
          <w:tcPr>
            <w:tcW w:w="260" w:type="dxa"/>
            <w:vAlign w:val="bottom"/>
            <w:tcBorders>
              <w:top w:val="single" w:sz="8" w:color="auto"/>
            </w:tcBorders>
          </w:tcPr>
          <w:p>
            <w:pPr>
              <w:spacing w:after="0"/>
              <w:rPr>
                <w:sz w:val="19"/>
                <w:szCs w:val="19"/>
                <w:color w:val="auto"/>
              </w:rPr>
            </w:pPr>
          </w:p>
        </w:tc>
        <w:tc>
          <w:tcPr>
            <w:tcW w:w="7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82,655</w:t>
            </w:r>
          </w:p>
        </w:tc>
        <w:tc>
          <w:tcPr>
            <w:tcW w:w="100" w:type="dxa"/>
            <w:vAlign w:val="bottom"/>
          </w:tcPr>
          <w:p>
            <w:pPr>
              <w:spacing w:after="0"/>
              <w:rPr>
                <w:sz w:val="19"/>
                <w:szCs w:val="19"/>
                <w:color w:val="auto"/>
              </w:rPr>
            </w:pPr>
          </w:p>
        </w:tc>
      </w:tr>
      <w:tr>
        <w:trPr>
          <w:trHeight w:val="216"/>
        </w:trPr>
        <w:tc>
          <w:tcPr>
            <w:tcW w:w="6320" w:type="dxa"/>
            <w:vAlign w:val="bottom"/>
            <w:shd w:val="clear" w:color="auto" w:fill="CCEEFF"/>
          </w:tcPr>
          <w:p>
            <w:pPr>
              <w:spacing w:after="0"/>
              <w:rPr>
                <w:sz w:val="20"/>
                <w:szCs w:val="20"/>
                <w:color w:val="auto"/>
              </w:rPr>
            </w:pPr>
            <w:r>
              <w:rPr>
                <w:rFonts w:ascii="Arial" w:cs="Arial" w:eastAsia="Arial" w:hAnsi="Arial"/>
                <w:sz w:val="18"/>
                <w:szCs w:val="18"/>
                <w:color w:val="auto"/>
              </w:rPr>
              <w:t>Goodwill</w:t>
            </w:r>
          </w:p>
        </w:tc>
        <w:tc>
          <w:tcPr>
            <w:tcW w:w="20" w:type="dxa"/>
            <w:vAlign w:val="bottom"/>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164,642</w:t>
            </w:r>
          </w:p>
        </w:tc>
        <w:tc>
          <w:tcPr>
            <w:tcW w:w="100" w:type="dxa"/>
            <w:vAlign w:val="bottom"/>
            <w:shd w:val="clear" w:color="auto" w:fill="CCEEFF"/>
          </w:tcPr>
          <w:p>
            <w:pPr>
              <w:spacing w:after="0"/>
              <w:rPr>
                <w:sz w:val="18"/>
                <w:szCs w:val="18"/>
                <w:color w:val="auto"/>
              </w:rPr>
            </w:pPr>
          </w:p>
        </w:tc>
      </w:tr>
      <w:tr>
        <w:trPr>
          <w:trHeight w:val="223"/>
        </w:trPr>
        <w:tc>
          <w:tcPr>
            <w:tcW w:w="6320" w:type="dxa"/>
            <w:vAlign w:val="bottom"/>
          </w:tcPr>
          <w:p>
            <w:pPr>
              <w:spacing w:after="0"/>
              <w:rPr>
                <w:sz w:val="20"/>
                <w:szCs w:val="20"/>
                <w:color w:val="auto"/>
              </w:rPr>
            </w:pPr>
            <w:r>
              <w:rPr>
                <w:rFonts w:ascii="Arial" w:cs="Arial" w:eastAsia="Arial" w:hAnsi="Arial"/>
                <w:sz w:val="18"/>
                <w:szCs w:val="18"/>
                <w:b w:val="1"/>
                <w:bCs w:val="1"/>
                <w:color w:val="auto"/>
              </w:rPr>
              <w:t>Estimate of consideration transferred</w:t>
            </w:r>
          </w:p>
        </w:tc>
        <w:tc>
          <w:tcPr>
            <w:tcW w:w="20" w:type="dxa"/>
            <w:vAlign w:val="bottom"/>
            <w:tcBorders>
              <w:bottom w:val="single" w:sz="8" w:color="auto"/>
            </w:tcBorders>
          </w:tcPr>
          <w:p>
            <w:pPr>
              <w:spacing w:after="0"/>
              <w:rPr>
                <w:sz w:val="19"/>
                <w:szCs w:val="19"/>
                <w:color w:val="auto"/>
              </w:rPr>
            </w:pPr>
          </w:p>
        </w:tc>
        <w:tc>
          <w:tcPr>
            <w:tcW w:w="26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w:t>
            </w: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247,297</w:t>
            </w:r>
          </w:p>
        </w:tc>
        <w:tc>
          <w:tcPr>
            <w:tcW w:w="100" w:type="dxa"/>
            <w:vAlign w:val="bottom"/>
          </w:tcPr>
          <w:p>
            <w:pPr>
              <w:spacing w:after="0"/>
              <w:rPr>
                <w:sz w:val="19"/>
                <w:szCs w:val="19"/>
                <w:color w:val="auto"/>
              </w:rPr>
            </w:pPr>
          </w:p>
        </w:tc>
      </w:tr>
      <w:tr>
        <w:trPr>
          <w:trHeight w:val="20"/>
        </w:trPr>
        <w:tc>
          <w:tcPr>
            <w:tcW w:w="6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15"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color w:val="auto"/>
        </w:rPr>
        <w:t>The following is a reconciliation of the fair value of assets acquired and liabilities assumed to the estimated transaction consideration (amounts in thousands):</w:t>
      </w:r>
    </w:p>
    <w:p>
      <w:pPr>
        <w:spacing w:after="0" w:line="177" w:lineRule="exact"/>
        <w:rPr>
          <w:sz w:val="20"/>
          <w:szCs w:val="20"/>
          <w:color w:val="auto"/>
        </w:rPr>
      </w:pPr>
    </w:p>
    <w:tbl>
      <w:tblPr>
        <w:tblLayout w:type="fixed"/>
        <w:tblInd w:w="178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7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140" w:type="dxa"/>
            <w:vAlign w:val="bottom"/>
            <w:gridSpan w:val="3"/>
          </w:tcPr>
          <w:p>
            <w:pPr>
              <w:jc w:val="right"/>
              <w:ind w:right="200"/>
              <w:spacing w:after="0"/>
              <w:rPr>
                <w:sz w:val="20"/>
                <w:szCs w:val="20"/>
                <w:color w:val="auto"/>
              </w:rPr>
            </w:pPr>
            <w:r>
              <w:rPr>
                <w:rFonts w:ascii="Arial" w:cs="Arial" w:eastAsia="Arial" w:hAnsi="Arial"/>
                <w:sz w:val="14"/>
                <w:szCs w:val="14"/>
                <w:b w:val="1"/>
                <w:bCs w:val="1"/>
                <w:color w:val="auto"/>
                <w:w w:val="94"/>
              </w:rPr>
              <w:t>Amounts as of</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5740" w:type="dxa"/>
            <w:vAlign w:val="bottom"/>
          </w:tcPr>
          <w:p>
            <w:pPr>
              <w:spacing w:after="0"/>
              <w:rPr>
                <w:sz w:val="14"/>
                <w:szCs w:val="14"/>
                <w:color w:val="auto"/>
              </w:rPr>
            </w:pPr>
          </w:p>
        </w:tc>
        <w:tc>
          <w:tcPr>
            <w:tcW w:w="1720" w:type="dxa"/>
            <w:vAlign w:val="bottom"/>
            <w:gridSpan w:val="4"/>
          </w:tcPr>
          <w:p>
            <w:pPr>
              <w:jc w:val="right"/>
              <w:ind w:right="120"/>
              <w:spacing w:after="0"/>
              <w:rPr>
                <w:sz w:val="20"/>
                <w:szCs w:val="20"/>
                <w:color w:val="auto"/>
              </w:rPr>
            </w:pPr>
            <w:r>
              <w:rPr>
                <w:rFonts w:ascii="Arial" w:cs="Arial" w:eastAsia="Arial" w:hAnsi="Arial"/>
                <w:sz w:val="14"/>
                <w:szCs w:val="14"/>
                <w:b w:val="1"/>
                <w:bCs w:val="1"/>
                <w:color w:val="auto"/>
              </w:rPr>
              <w:t>Acquisition Date</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7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Total estimate of consideration transferred</w:t>
            </w:r>
          </w:p>
        </w:tc>
        <w:tc>
          <w:tcPr>
            <w:tcW w:w="58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bottom w:val="single" w:sz="8" w:color="auto"/>
            </w:tcBorders>
            <w:shd w:val="clear" w:color="auto" w:fill="CCEEFF"/>
          </w:tcPr>
          <w:p>
            <w:pPr>
              <w:jc w:val="right"/>
              <w:ind w:right="107"/>
              <w:spacing w:after="0"/>
              <w:rPr>
                <w:sz w:val="20"/>
                <w:szCs w:val="20"/>
                <w:color w:val="auto"/>
              </w:rPr>
            </w:pPr>
            <w:r>
              <w:rPr>
                <w:rFonts w:ascii="Arial" w:cs="Arial" w:eastAsia="Arial" w:hAnsi="Arial"/>
                <w:sz w:val="15"/>
                <w:szCs w:val="15"/>
                <w:b w:val="1"/>
                <w:bCs w:val="1"/>
                <w:color w:val="auto"/>
                <w:w w:val="71"/>
              </w:rPr>
              <w:t>$</w:t>
            </w: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247,297</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5760" w:type="dxa"/>
            <w:vAlign w:val="bottom"/>
            <w:gridSpan w:val="2"/>
          </w:tcPr>
          <w:p>
            <w:pPr>
              <w:spacing w:after="0"/>
              <w:rPr>
                <w:sz w:val="20"/>
                <w:szCs w:val="20"/>
                <w:color w:val="auto"/>
              </w:rPr>
            </w:pPr>
            <w:r>
              <w:rPr>
                <w:rFonts w:ascii="Arial" w:cs="Arial" w:eastAsia="Arial" w:hAnsi="Arial"/>
                <w:sz w:val="18"/>
                <w:szCs w:val="18"/>
                <w:color w:val="auto"/>
              </w:rPr>
              <w:t>Book value of net assets acquired at December 31, 2018</w:t>
            </w:r>
          </w:p>
        </w:tc>
        <w:tc>
          <w:tcPr>
            <w:tcW w:w="5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(13,550)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40" w:type="dxa"/>
            <w:vAlign w:val="bottom"/>
            <w:shd w:val="clear" w:color="auto" w:fill="CCEEFF"/>
          </w:tcPr>
          <w:p>
            <w:pPr>
              <w:spacing w:after="0"/>
              <w:rPr>
                <w:sz w:val="20"/>
                <w:szCs w:val="20"/>
                <w:color w:val="auto"/>
              </w:rPr>
            </w:pPr>
            <w:r>
              <w:rPr>
                <w:rFonts w:ascii="Arial" w:cs="Arial" w:eastAsia="Arial" w:hAnsi="Arial"/>
                <w:sz w:val="18"/>
                <w:szCs w:val="18"/>
                <w:color w:val="auto"/>
              </w:rPr>
              <w:t>Adjusted for:</w:t>
            </w:r>
          </w:p>
        </w:tc>
        <w:tc>
          <w:tcPr>
            <w:tcW w:w="5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40" w:type="dxa"/>
            <w:vAlign w:val="bottom"/>
          </w:tcPr>
          <w:p>
            <w:pPr>
              <w:spacing w:after="0"/>
              <w:rPr>
                <w:sz w:val="20"/>
                <w:szCs w:val="20"/>
                <w:color w:val="auto"/>
              </w:rPr>
            </w:pPr>
            <w:r>
              <w:rPr>
                <w:rFonts w:ascii="Arial" w:cs="Arial" w:eastAsia="Arial" w:hAnsi="Arial"/>
                <w:sz w:val="18"/>
                <w:szCs w:val="18"/>
                <w:color w:val="auto"/>
              </w:rPr>
              <w:t>Elimination of deferred rent</w:t>
            </w:r>
          </w:p>
        </w:tc>
        <w:tc>
          <w:tcPr>
            <w:tcW w:w="5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1,598</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40" w:type="dxa"/>
            <w:vAlign w:val="bottom"/>
            <w:shd w:val="clear" w:color="auto" w:fill="CCEEFF"/>
          </w:tcPr>
          <w:p>
            <w:pPr>
              <w:spacing w:after="0"/>
              <w:rPr>
                <w:sz w:val="20"/>
                <w:szCs w:val="20"/>
                <w:color w:val="auto"/>
              </w:rPr>
            </w:pPr>
            <w:r>
              <w:rPr>
                <w:rFonts w:ascii="Arial" w:cs="Arial" w:eastAsia="Arial" w:hAnsi="Arial"/>
                <w:sz w:val="18"/>
                <w:szCs w:val="18"/>
                <w:color w:val="auto"/>
              </w:rPr>
              <w:t>Elimination of deferred commission</w:t>
            </w:r>
          </w:p>
        </w:tc>
        <w:tc>
          <w:tcPr>
            <w:tcW w:w="5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(662)</w:t>
            </w:r>
          </w:p>
        </w:tc>
        <w:tc>
          <w:tcPr>
            <w:tcW w:w="0" w:type="dxa"/>
            <w:vAlign w:val="bottom"/>
          </w:tcPr>
          <w:p>
            <w:pPr>
              <w:spacing w:after="0"/>
              <w:rPr>
                <w:sz w:val="1"/>
                <w:szCs w:val="1"/>
                <w:color w:val="auto"/>
              </w:rPr>
            </w:pPr>
          </w:p>
        </w:tc>
      </w:tr>
      <w:tr>
        <w:trPr>
          <w:trHeight w:val="223"/>
        </w:trPr>
        <w:tc>
          <w:tcPr>
            <w:tcW w:w="5760" w:type="dxa"/>
            <w:vAlign w:val="bottom"/>
            <w:gridSpan w:val="2"/>
          </w:tcPr>
          <w:p>
            <w:pPr>
              <w:spacing w:after="0"/>
              <w:rPr>
                <w:sz w:val="20"/>
                <w:szCs w:val="20"/>
                <w:color w:val="auto"/>
              </w:rPr>
            </w:pPr>
            <w:r>
              <w:rPr>
                <w:rFonts w:ascii="Arial" w:cs="Arial" w:eastAsia="Arial" w:hAnsi="Arial"/>
                <w:sz w:val="18"/>
                <w:szCs w:val="18"/>
                <w:color w:val="auto"/>
              </w:rPr>
              <w:t>Adjusted book value of net assets acquired</w:t>
            </w:r>
          </w:p>
        </w:tc>
        <w:tc>
          <w:tcPr>
            <w:tcW w:w="580" w:type="dxa"/>
            <w:vAlign w:val="bottom"/>
          </w:tcPr>
          <w:p>
            <w:pPr>
              <w:spacing w:after="0"/>
              <w:rPr>
                <w:sz w:val="19"/>
                <w:szCs w:val="19"/>
                <w:color w:val="auto"/>
              </w:rPr>
            </w:pPr>
          </w:p>
        </w:tc>
        <w:tc>
          <w:tcPr>
            <w:tcW w:w="260" w:type="dxa"/>
            <w:vAlign w:val="bottom"/>
            <w:tcBorders>
              <w:top w:val="single" w:sz="8" w:color="auto"/>
            </w:tcBorders>
          </w:tcPr>
          <w:p>
            <w:pPr>
              <w:spacing w:after="0"/>
              <w:rPr>
                <w:sz w:val="19"/>
                <w:szCs w:val="19"/>
                <w:color w:val="auto"/>
              </w:rPr>
            </w:pPr>
          </w:p>
        </w:tc>
        <w:tc>
          <w:tcPr>
            <w:tcW w:w="7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(12,614)</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40" w:type="dxa"/>
            <w:vAlign w:val="bottom"/>
            <w:shd w:val="clear" w:color="auto" w:fill="CCEEFF"/>
          </w:tcPr>
          <w:p>
            <w:pPr>
              <w:spacing w:after="0"/>
              <w:rPr>
                <w:sz w:val="20"/>
                <w:szCs w:val="20"/>
                <w:color w:val="auto"/>
              </w:rPr>
            </w:pPr>
            <w:r>
              <w:rPr>
                <w:rFonts w:ascii="Arial" w:cs="Arial" w:eastAsia="Arial" w:hAnsi="Arial"/>
                <w:sz w:val="18"/>
                <w:szCs w:val="18"/>
                <w:color w:val="auto"/>
              </w:rPr>
              <w:t>Adjustments to:</w:t>
            </w:r>
          </w:p>
        </w:tc>
        <w:tc>
          <w:tcPr>
            <w:tcW w:w="5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40" w:type="dxa"/>
            <w:vAlign w:val="bottom"/>
          </w:tcPr>
          <w:p>
            <w:pPr>
              <w:spacing w:after="0"/>
              <w:rPr>
                <w:sz w:val="20"/>
                <w:szCs w:val="20"/>
                <w:color w:val="auto"/>
              </w:rPr>
            </w:pPr>
            <w:r>
              <w:rPr>
                <w:rFonts w:ascii="Arial" w:cs="Arial" w:eastAsia="Arial" w:hAnsi="Arial"/>
                <w:sz w:val="18"/>
                <w:szCs w:val="18"/>
                <w:color w:val="auto"/>
              </w:rPr>
              <w:t>Property and equipment, net</w:t>
            </w:r>
          </w:p>
        </w:tc>
        <w:tc>
          <w:tcPr>
            <w:tcW w:w="5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310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40" w:type="dxa"/>
            <w:vAlign w:val="bottom"/>
            <w:shd w:val="clear" w:color="auto" w:fill="CCEEFF"/>
          </w:tcPr>
          <w:p>
            <w:pPr>
              <w:spacing w:after="0"/>
              <w:rPr>
                <w:sz w:val="20"/>
                <w:szCs w:val="20"/>
                <w:color w:val="auto"/>
              </w:rPr>
            </w:pPr>
            <w:r>
              <w:rPr>
                <w:rFonts w:ascii="Arial" w:cs="Arial" w:eastAsia="Arial" w:hAnsi="Arial"/>
                <w:sz w:val="18"/>
                <w:szCs w:val="18"/>
                <w:color w:val="auto"/>
              </w:rPr>
              <w:t>Intangible assets</w:t>
            </w:r>
          </w:p>
        </w:tc>
        <w:tc>
          <w:tcPr>
            <w:tcW w:w="5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111,061</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40" w:type="dxa"/>
            <w:vAlign w:val="bottom"/>
          </w:tcPr>
          <w:p>
            <w:pPr>
              <w:spacing w:after="0"/>
              <w:rPr>
                <w:sz w:val="20"/>
                <w:szCs w:val="20"/>
                <w:color w:val="auto"/>
              </w:rPr>
            </w:pPr>
            <w:r>
              <w:rPr>
                <w:rFonts w:ascii="Arial" w:cs="Arial" w:eastAsia="Arial" w:hAnsi="Arial"/>
                <w:sz w:val="18"/>
                <w:szCs w:val="18"/>
                <w:color w:val="auto"/>
              </w:rPr>
              <w:t>Unfavorable leases</w:t>
            </w:r>
          </w:p>
        </w:tc>
        <w:tc>
          <w:tcPr>
            <w:tcW w:w="5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80" w:type="dxa"/>
            <w:vAlign w:val="bottom"/>
            <w:gridSpan w:val="2"/>
          </w:tcPr>
          <w:p>
            <w:pPr>
              <w:jc w:val="right"/>
              <w:ind w:right="60"/>
              <w:spacing w:after="0"/>
              <w:rPr>
                <w:sz w:val="20"/>
                <w:szCs w:val="20"/>
                <w:color w:val="auto"/>
              </w:rPr>
            </w:pPr>
            <w:r>
              <w:rPr>
                <w:rFonts w:ascii="Arial" w:cs="Arial" w:eastAsia="Arial" w:hAnsi="Arial"/>
                <w:sz w:val="18"/>
                <w:szCs w:val="18"/>
                <w:color w:val="auto"/>
              </w:rPr>
              <w:t>(1,380)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40" w:type="dxa"/>
            <w:vAlign w:val="bottom"/>
            <w:shd w:val="clear" w:color="auto" w:fill="CCEEFF"/>
          </w:tcPr>
          <w:p>
            <w:pPr>
              <w:spacing w:after="0"/>
              <w:rPr>
                <w:sz w:val="20"/>
                <w:szCs w:val="20"/>
                <w:color w:val="auto"/>
              </w:rPr>
            </w:pPr>
            <w:r>
              <w:rPr>
                <w:rFonts w:ascii="Arial" w:cs="Arial" w:eastAsia="Arial" w:hAnsi="Arial"/>
                <w:sz w:val="18"/>
                <w:szCs w:val="18"/>
                <w:color w:val="auto"/>
              </w:rPr>
              <w:t>Deferred revenue</w:t>
            </w:r>
          </w:p>
        </w:tc>
        <w:tc>
          <w:tcPr>
            <w:tcW w:w="5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9,190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740" w:type="dxa"/>
            <w:vAlign w:val="bottom"/>
          </w:tcPr>
          <w:p>
            <w:pPr>
              <w:spacing w:after="0"/>
              <w:rPr>
                <w:sz w:val="20"/>
                <w:szCs w:val="20"/>
                <w:color w:val="auto"/>
              </w:rPr>
            </w:pPr>
            <w:r>
              <w:rPr>
                <w:rFonts w:ascii="Arial" w:cs="Arial" w:eastAsia="Arial" w:hAnsi="Arial"/>
                <w:sz w:val="18"/>
                <w:szCs w:val="18"/>
                <w:color w:val="auto"/>
              </w:rPr>
              <w:t>Deferred tax liability, net</w:t>
            </w:r>
          </w:p>
        </w:tc>
        <w:tc>
          <w:tcPr>
            <w:tcW w:w="5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80" w:type="dxa"/>
            <w:vAlign w:val="bottom"/>
            <w:gridSpan w:val="2"/>
          </w:tcPr>
          <w:p>
            <w:pPr>
              <w:jc w:val="right"/>
              <w:ind w:right="60"/>
              <w:spacing w:after="0"/>
              <w:rPr>
                <w:sz w:val="20"/>
                <w:szCs w:val="20"/>
                <w:color w:val="auto"/>
              </w:rPr>
            </w:pPr>
            <w:r>
              <w:rPr>
                <w:rFonts w:ascii="Arial" w:cs="Arial" w:eastAsia="Arial" w:hAnsi="Arial"/>
                <w:sz w:val="18"/>
                <w:szCs w:val="18"/>
                <w:color w:val="auto"/>
              </w:rPr>
              <w:t>(23,912)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40" w:type="dxa"/>
            <w:vAlign w:val="bottom"/>
            <w:shd w:val="clear" w:color="auto" w:fill="CCEEFF"/>
          </w:tcPr>
          <w:p>
            <w:pPr>
              <w:spacing w:after="0"/>
              <w:rPr>
                <w:sz w:val="20"/>
                <w:szCs w:val="20"/>
                <w:color w:val="auto"/>
              </w:rPr>
            </w:pPr>
            <w:r>
              <w:rPr>
                <w:rFonts w:ascii="Arial" w:cs="Arial" w:eastAsia="Arial" w:hAnsi="Arial"/>
                <w:sz w:val="18"/>
                <w:szCs w:val="18"/>
                <w:color w:val="auto"/>
                <w:w w:val="99"/>
              </w:rPr>
              <w:t>Fair value of assets acquired and liabilities assumed, excluding goodwill</w:t>
            </w:r>
          </w:p>
        </w:tc>
        <w:tc>
          <w:tcPr>
            <w:tcW w:w="580" w:type="dxa"/>
            <w:vAlign w:val="bottom"/>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82,655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740" w:type="dxa"/>
            <w:vAlign w:val="bottom"/>
          </w:tcPr>
          <w:p>
            <w:pPr>
              <w:spacing w:after="0"/>
              <w:rPr>
                <w:sz w:val="20"/>
                <w:szCs w:val="20"/>
                <w:color w:val="auto"/>
              </w:rPr>
            </w:pPr>
            <w:r>
              <w:rPr>
                <w:rFonts w:ascii="Arial" w:cs="Arial" w:eastAsia="Arial" w:hAnsi="Arial"/>
                <w:sz w:val="18"/>
                <w:szCs w:val="18"/>
                <w:color w:val="auto"/>
              </w:rPr>
              <w:t>Goodwill</w:t>
            </w:r>
          </w:p>
        </w:tc>
        <w:tc>
          <w:tcPr>
            <w:tcW w:w="58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164,642</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Reconciliation to estimate of consideration transferred</w:t>
            </w:r>
          </w:p>
        </w:tc>
        <w:tc>
          <w:tcPr>
            <w:tcW w:w="840" w:type="dxa"/>
            <w:vAlign w:val="bottom"/>
            <w:gridSpan w:val="2"/>
            <w:shd w:val="clear" w:color="auto" w:fill="CCEEFF"/>
          </w:tcPr>
          <w:p>
            <w:pPr>
              <w:jc w:val="right"/>
              <w:ind w:right="107"/>
              <w:spacing w:after="0"/>
              <w:rPr>
                <w:sz w:val="20"/>
                <w:szCs w:val="20"/>
                <w:color w:val="auto"/>
              </w:rPr>
            </w:pPr>
            <w:r>
              <w:rPr>
                <w:rFonts w:ascii="Arial" w:cs="Arial" w:eastAsia="Arial" w:hAnsi="Arial"/>
                <w:sz w:val="18"/>
                <w:szCs w:val="18"/>
                <w:b w:val="1"/>
                <w:bCs w:val="1"/>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247,297</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760" w:type="dxa"/>
            <w:vAlign w:val="bottom"/>
            <w:gridSpan w:val="2"/>
            <w:vMerge w:val="restart"/>
          </w:tcPr>
          <w:p>
            <w:pPr>
              <w:jc w:val="right"/>
              <w:ind w:right="1890"/>
              <w:spacing w:after="0"/>
              <w:rPr>
                <w:sz w:val="20"/>
                <w:szCs w:val="20"/>
                <w:color w:val="auto"/>
              </w:rPr>
            </w:pPr>
            <w:r>
              <w:rPr>
                <w:rFonts w:ascii="Arial" w:cs="Arial" w:eastAsia="Arial" w:hAnsi="Arial"/>
                <w:sz w:val="18"/>
                <w:szCs w:val="18"/>
                <w:color w:val="auto"/>
              </w:rPr>
              <w:t>7</w:t>
            </w:r>
          </w:p>
        </w:tc>
        <w:tc>
          <w:tcPr>
            <w:tcW w:w="58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5760" w:type="dxa"/>
            <w:vAlign w:val="bottom"/>
            <w:gridSpan w:val="2"/>
            <w:vMerge w:val="continue"/>
          </w:tcPr>
          <w:p>
            <w:pPr>
              <w:spacing w:after="0"/>
              <w:rPr>
                <w:sz w:val="24"/>
                <w:szCs w:val="24"/>
                <w:color w:val="auto"/>
              </w:rPr>
            </w:pPr>
          </w:p>
        </w:tc>
        <w:tc>
          <w:tcPr>
            <w:tcW w:w="5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0620"/>
          </w:cols>
          <w:pgMar w:left="440" w:top="270" w:right="839" w:bottom="1440" w:gutter="0" w:footer="0" w:header="0"/>
        </w:sectPr>
      </w:pPr>
    </w:p>
    <w:bookmarkStart w:id="41" w:name="page42"/>
    <w:bookmarkEnd w:id="41"/>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Note 6: Unaudited Pro Forma Combined Balance Sheet Adjustments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The following represents an explanation of the various adjustments to the unaudited pro forma combined balance sheet.</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 – Cash and cash equivalents:</w:t>
      </w:r>
    </w:p>
    <w:p>
      <w:pPr>
        <w:spacing w:after="0" w:line="121" w:lineRule="exact"/>
        <w:rPr>
          <w:sz w:val="20"/>
          <w:szCs w:val="20"/>
          <w:color w:val="auto"/>
        </w:rPr>
      </w:pPr>
    </w:p>
    <w:p>
      <w:pPr>
        <w:spacing w:after="0"/>
        <w:rPr>
          <w:sz w:val="20"/>
          <w:szCs w:val="20"/>
          <w:color w:val="auto"/>
        </w:rPr>
      </w:pPr>
      <w:r>
        <w:rPr>
          <w:rFonts w:ascii="Arial" w:cs="Arial" w:eastAsia="Arial" w:hAnsi="Arial"/>
          <w:sz w:val="17"/>
          <w:szCs w:val="17"/>
          <w:color w:val="auto"/>
        </w:rPr>
        <w:t>This represents the net adjustment to cash and cash equivalents after giving effect to the acquisition and borrowings (amounts in thousands):</w:t>
      </w:r>
    </w:p>
    <w:p>
      <w:pPr>
        <w:spacing w:after="0" w:line="278" w:lineRule="exact"/>
        <w:rPr>
          <w:sz w:val="20"/>
          <w:szCs w:val="20"/>
          <w:color w:val="auto"/>
        </w:rPr>
      </w:pPr>
    </w:p>
    <w:tbl>
      <w:tblPr>
        <w:tblLayout w:type="fixed"/>
        <w:tblInd w:w="178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6600" w:type="dxa"/>
            <w:vAlign w:val="bottom"/>
            <w:shd w:val="clear" w:color="auto" w:fill="CCEEFF"/>
          </w:tcPr>
          <w:p>
            <w:pPr>
              <w:spacing w:after="0"/>
              <w:rPr>
                <w:sz w:val="20"/>
                <w:szCs w:val="20"/>
                <w:color w:val="auto"/>
              </w:rPr>
            </w:pPr>
            <w:r>
              <w:rPr>
                <w:rFonts w:ascii="Arial" w:cs="Arial" w:eastAsia="Arial" w:hAnsi="Arial"/>
                <w:sz w:val="18"/>
                <w:szCs w:val="18"/>
                <w:color w:val="auto"/>
              </w:rPr>
              <w:t>Net proceeds from Credit Facilities (1)</w:t>
            </w:r>
          </w:p>
        </w:tc>
        <w:tc>
          <w:tcPr>
            <w:tcW w:w="1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170,744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00" w:type="dxa"/>
            <w:vAlign w:val="bottom"/>
          </w:tcPr>
          <w:p>
            <w:pPr>
              <w:spacing w:after="0"/>
              <w:rPr>
                <w:sz w:val="20"/>
                <w:szCs w:val="20"/>
                <w:color w:val="auto"/>
              </w:rPr>
            </w:pPr>
            <w:r>
              <w:rPr>
                <w:rFonts w:ascii="Arial" w:cs="Arial" w:eastAsia="Arial" w:hAnsi="Arial"/>
                <w:sz w:val="18"/>
                <w:szCs w:val="18"/>
                <w:color w:val="auto"/>
              </w:rPr>
              <w:t>Cash paid:</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Cash paid for transaction-related costs (2)</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(1,625)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00" w:type="dxa"/>
            <w:vAlign w:val="bottom"/>
          </w:tcPr>
          <w:p>
            <w:pPr>
              <w:ind w:left="340"/>
              <w:spacing w:after="0"/>
              <w:rPr>
                <w:sz w:val="20"/>
                <w:szCs w:val="20"/>
                <w:color w:val="auto"/>
              </w:rPr>
            </w:pPr>
            <w:r>
              <w:rPr>
                <w:rFonts w:ascii="Arial" w:cs="Arial" w:eastAsia="Arial" w:hAnsi="Arial"/>
                <w:sz w:val="18"/>
                <w:szCs w:val="18"/>
                <w:color w:val="auto"/>
              </w:rPr>
              <w:t>Cash paid by Forrester to Sellers</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60" w:type="dxa"/>
            <w:vAlign w:val="bottom"/>
            <w:gridSpan w:val="2"/>
          </w:tcPr>
          <w:p>
            <w:pPr>
              <w:jc w:val="right"/>
              <w:ind w:right="20"/>
              <w:spacing w:after="0"/>
              <w:rPr>
                <w:sz w:val="20"/>
                <w:szCs w:val="20"/>
                <w:color w:val="auto"/>
              </w:rPr>
            </w:pPr>
            <w:r>
              <w:rPr>
                <w:rFonts w:ascii="Arial" w:cs="Arial" w:eastAsia="Arial" w:hAnsi="Arial"/>
                <w:sz w:val="18"/>
                <w:szCs w:val="18"/>
                <w:color w:val="auto"/>
                <w:w w:val="88"/>
              </w:rPr>
              <w:t>(247,297)</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660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6600" w:type="dxa"/>
            <w:vAlign w:val="bottom"/>
            <w:shd w:val="clear" w:color="auto" w:fill="CCEEFF"/>
          </w:tcPr>
          <w:p>
            <w:pPr>
              <w:spacing w:after="0"/>
              <w:rPr>
                <w:sz w:val="20"/>
                <w:szCs w:val="20"/>
                <w:color w:val="auto"/>
              </w:rPr>
            </w:pPr>
            <w:r>
              <w:rPr>
                <w:rFonts w:ascii="Arial" w:cs="Arial" w:eastAsia="Arial" w:hAnsi="Arial"/>
                <w:sz w:val="18"/>
                <w:szCs w:val="18"/>
                <w:color w:val="auto"/>
              </w:rPr>
              <w:t>Total cash paid</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88"/>
              </w:rPr>
              <w:t>(248,922)</w:t>
            </w:r>
          </w:p>
        </w:tc>
        <w:tc>
          <w:tcPr>
            <w:tcW w:w="0" w:type="dxa"/>
            <w:vAlign w:val="bottom"/>
          </w:tcPr>
          <w:p>
            <w:pPr>
              <w:spacing w:after="0"/>
              <w:rPr>
                <w:sz w:val="1"/>
                <w:szCs w:val="1"/>
                <w:color w:val="auto"/>
              </w:rPr>
            </w:pPr>
          </w:p>
        </w:tc>
      </w:tr>
      <w:tr>
        <w:trPr>
          <w:trHeight w:val="223"/>
        </w:trPr>
        <w:tc>
          <w:tcPr>
            <w:tcW w:w="6620" w:type="dxa"/>
            <w:vAlign w:val="bottom"/>
            <w:gridSpan w:val="2"/>
          </w:tcPr>
          <w:p>
            <w:pPr>
              <w:spacing w:after="0"/>
              <w:rPr>
                <w:sz w:val="20"/>
                <w:szCs w:val="20"/>
                <w:color w:val="auto"/>
              </w:rPr>
            </w:pPr>
            <w:r>
              <w:rPr>
                <w:rFonts w:ascii="Arial" w:cs="Arial" w:eastAsia="Arial" w:hAnsi="Arial"/>
                <w:sz w:val="18"/>
                <w:szCs w:val="18"/>
                <w:b w:val="1"/>
                <w:bCs w:val="1"/>
                <w:color w:val="auto"/>
              </w:rPr>
              <w:t>Total pro forma adjustment to cash and cash equivalents</w:t>
            </w:r>
          </w:p>
        </w:tc>
        <w:tc>
          <w:tcPr>
            <w:tcW w:w="20" w:type="dxa"/>
            <w:vAlign w:val="bottom"/>
            <w:tcBorders>
              <w:bottom w:val="single" w:sz="8" w:color="auto"/>
            </w:tcBorders>
          </w:tcPr>
          <w:p>
            <w:pPr>
              <w:spacing w:after="0"/>
              <w:rPr>
                <w:sz w:val="19"/>
                <w:szCs w:val="19"/>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b w:val="1"/>
                <w:bCs w:val="1"/>
                <w:color w:val="auto"/>
                <w:w w:val="71"/>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(78,178</w:t>
            </w:r>
          </w:p>
        </w:tc>
        <w:tc>
          <w:tcPr>
            <w:tcW w:w="100" w:type="dxa"/>
            <w:vAlign w:val="bottom"/>
          </w:tcPr>
          <w:p>
            <w:pPr>
              <w:jc w:val="right"/>
              <w:ind w:right="20"/>
              <w:spacing w:after="0"/>
              <w:rPr>
                <w:sz w:val="20"/>
                <w:szCs w:val="20"/>
                <w:color w:val="auto"/>
              </w:rPr>
            </w:pPr>
            <w:r>
              <w:rPr>
                <w:rFonts w:ascii="Arial" w:cs="Arial" w:eastAsia="Arial" w:hAnsi="Arial"/>
                <w:sz w:val="8"/>
                <w:szCs w:val="8"/>
                <w:b w:val="1"/>
                <w:bCs w:val="1"/>
                <w:color w:val="auto"/>
                <w:w w:val="73"/>
              </w:rPr>
              <w: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6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2" w:lineRule="exact"/>
        <w:rPr>
          <w:sz w:val="20"/>
          <w:szCs w:val="20"/>
          <w:color w:val="auto"/>
        </w:rPr>
      </w:pPr>
    </w:p>
    <w:p>
      <w:pPr>
        <w:ind w:left="440" w:hanging="436"/>
        <w:spacing w:after="0"/>
        <w:tabs>
          <w:tab w:leader="none" w:pos="440" w:val="left"/>
        </w:tabs>
        <w:numPr>
          <w:ilvl w:val="0"/>
          <w:numId w:val="17"/>
        </w:numPr>
        <w:rPr>
          <w:rFonts w:ascii="Arial" w:cs="Arial" w:eastAsia="Arial" w:hAnsi="Arial"/>
          <w:sz w:val="18"/>
          <w:szCs w:val="18"/>
          <w:color w:val="auto"/>
        </w:rPr>
      </w:pPr>
      <w:r>
        <w:rPr>
          <w:rFonts w:ascii="Arial" w:cs="Arial" w:eastAsia="Arial" w:hAnsi="Arial"/>
          <w:sz w:val="18"/>
          <w:szCs w:val="18"/>
          <w:color w:val="auto"/>
        </w:rPr>
        <w:t>Amount represents net proceeds from Credit Facilities. Refer to Note 6E.</w:t>
      </w:r>
    </w:p>
    <w:p>
      <w:pPr>
        <w:spacing w:after="0" w:line="23" w:lineRule="exact"/>
        <w:rPr>
          <w:rFonts w:ascii="Arial" w:cs="Arial" w:eastAsia="Arial" w:hAnsi="Arial"/>
          <w:sz w:val="18"/>
          <w:szCs w:val="18"/>
          <w:color w:val="auto"/>
        </w:rPr>
      </w:pPr>
    </w:p>
    <w:p>
      <w:pPr>
        <w:ind w:left="440" w:right="40" w:hanging="436"/>
        <w:spacing w:after="0" w:line="255" w:lineRule="auto"/>
        <w:tabs>
          <w:tab w:leader="none" w:pos="440" w:val="left"/>
        </w:tabs>
        <w:numPr>
          <w:ilvl w:val="0"/>
          <w:numId w:val="17"/>
        </w:numPr>
        <w:rPr>
          <w:rFonts w:ascii="Arial" w:cs="Arial" w:eastAsia="Arial" w:hAnsi="Arial"/>
          <w:sz w:val="18"/>
          <w:szCs w:val="18"/>
          <w:color w:val="auto"/>
        </w:rPr>
      </w:pPr>
      <w:r>
        <w:rPr>
          <w:rFonts w:ascii="Arial" w:cs="Arial" w:eastAsia="Arial" w:hAnsi="Arial"/>
          <w:sz w:val="18"/>
          <w:szCs w:val="18"/>
          <w:color w:val="auto"/>
        </w:rPr>
        <w:t>Amount represents transaction-related costs not incurred or recognized by Forrester as of the unaudited pro forma combined balance sheet date of December 31, 2018. Unrecognized transaction-related costs are reflected as a reduction to cash for pro forma purposes, with a corresponding decrease in retained earnings. Refer to Note 2.</w:t>
      </w:r>
    </w:p>
    <w:p>
      <w:pPr>
        <w:spacing w:after="0" w:line="29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B—Property and equipment</w:t>
      </w:r>
    </w:p>
    <w:p>
      <w:pPr>
        <w:spacing w:after="0" w:line="121" w:lineRule="exact"/>
        <w:rPr>
          <w:sz w:val="20"/>
          <w:szCs w:val="20"/>
          <w:color w:val="auto"/>
        </w:rPr>
      </w:pPr>
    </w:p>
    <w:p>
      <w:pPr>
        <w:spacing w:after="0" w:line="312" w:lineRule="auto"/>
        <w:rPr>
          <w:sz w:val="20"/>
          <w:szCs w:val="20"/>
          <w:color w:val="auto"/>
        </w:rPr>
      </w:pPr>
      <w:r>
        <w:rPr>
          <w:rFonts w:ascii="Arial" w:cs="Arial" w:eastAsia="Arial" w:hAnsi="Arial"/>
          <w:sz w:val="16"/>
          <w:szCs w:val="16"/>
          <w:color w:val="auto"/>
        </w:rPr>
        <w:t>Represents the adjustment in carrying value of Sirius’ property and equipment from its recorded net book value to its preliminary estimated fair value. The estimated fair value is expected to be depreciated or amortized based on management’s estimates of the period over which the assets will be utilized to benefit the operations of the company. The preliminary amounts assigned to property and equipment are as follows (dollar amounts in thousands):</w:t>
      </w:r>
    </w:p>
    <w:p>
      <w:pPr>
        <w:spacing w:after="0" w:line="153" w:lineRule="exact"/>
        <w:rPr>
          <w:sz w:val="20"/>
          <w:szCs w:val="20"/>
          <w:color w:val="auto"/>
        </w:rPr>
      </w:pPr>
    </w:p>
    <w:tbl>
      <w:tblPr>
        <w:tblLayout w:type="fixed"/>
        <w:tblInd w:w="44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300" w:type="dxa"/>
            <w:vAlign w:val="bottom"/>
          </w:tcPr>
          <w:p>
            <w:pPr>
              <w:spacing w:after="0"/>
              <w:rPr>
                <w:sz w:val="14"/>
                <w:szCs w:val="14"/>
                <w:color w:val="auto"/>
              </w:rPr>
            </w:pPr>
          </w:p>
        </w:tc>
        <w:tc>
          <w:tcPr>
            <w:tcW w:w="2640" w:type="dxa"/>
            <w:vAlign w:val="bottom"/>
            <w:gridSpan w:val="3"/>
          </w:tcPr>
          <w:p>
            <w:pPr>
              <w:jc w:val="right"/>
              <w:ind w:right="620"/>
              <w:spacing w:after="0"/>
              <w:rPr>
                <w:sz w:val="20"/>
                <w:szCs w:val="20"/>
                <w:color w:val="auto"/>
              </w:rPr>
            </w:pPr>
            <w:r>
              <w:rPr>
                <w:rFonts w:ascii="Arial" w:cs="Arial" w:eastAsia="Arial" w:hAnsi="Arial"/>
                <w:sz w:val="14"/>
                <w:szCs w:val="14"/>
                <w:b w:val="1"/>
                <w:bCs w:val="1"/>
                <w:color w:val="auto"/>
              </w:rPr>
              <w:t>Estimated Useful</w:t>
            </w:r>
          </w:p>
        </w:tc>
        <w:tc>
          <w:tcPr>
            <w:tcW w:w="20" w:type="dxa"/>
            <w:vAlign w:val="bottom"/>
          </w:tcPr>
          <w:p>
            <w:pPr>
              <w:spacing w:after="0"/>
              <w:rPr>
                <w:sz w:val="14"/>
                <w:szCs w:val="14"/>
                <w:color w:val="auto"/>
              </w:rPr>
            </w:pPr>
          </w:p>
        </w:tc>
        <w:tc>
          <w:tcPr>
            <w:tcW w:w="1460" w:type="dxa"/>
            <w:vAlign w:val="bottom"/>
            <w:gridSpan w:val="3"/>
          </w:tcPr>
          <w:p>
            <w:pPr>
              <w:ind w:left="40"/>
              <w:spacing w:after="0"/>
              <w:rPr>
                <w:sz w:val="20"/>
                <w:szCs w:val="20"/>
                <w:color w:val="auto"/>
              </w:rPr>
            </w:pPr>
            <w:r>
              <w:rPr>
                <w:rFonts w:ascii="Arial" w:cs="Arial" w:eastAsia="Arial" w:hAnsi="Arial"/>
                <w:sz w:val="14"/>
                <w:szCs w:val="14"/>
                <w:b w:val="1"/>
                <w:bCs w:val="1"/>
                <w:color w:val="auto"/>
              </w:rPr>
              <w:t>Sirius Historical</w:t>
            </w:r>
          </w:p>
        </w:tc>
        <w:tc>
          <w:tcPr>
            <w:tcW w:w="320" w:type="dxa"/>
            <w:vAlign w:val="bottom"/>
          </w:tcPr>
          <w:p>
            <w:pPr>
              <w:spacing w:after="0"/>
              <w:rPr>
                <w:sz w:val="14"/>
                <w:szCs w:val="14"/>
                <w:color w:val="auto"/>
              </w:rPr>
            </w:pPr>
          </w:p>
        </w:tc>
        <w:tc>
          <w:tcPr>
            <w:tcW w:w="1080" w:type="dxa"/>
            <w:vAlign w:val="bottom"/>
            <w:gridSpan w:val="3"/>
          </w:tcPr>
          <w:p>
            <w:pPr>
              <w:jc w:val="right"/>
              <w:ind w:right="400"/>
              <w:spacing w:after="0"/>
              <w:rPr>
                <w:sz w:val="20"/>
                <w:szCs w:val="20"/>
                <w:color w:val="auto"/>
              </w:rPr>
            </w:pPr>
            <w:r>
              <w:rPr>
                <w:rFonts w:ascii="Arial" w:cs="Arial" w:eastAsia="Arial" w:hAnsi="Arial"/>
                <w:sz w:val="14"/>
                <w:szCs w:val="14"/>
                <w:b w:val="1"/>
                <w:bCs w:val="1"/>
                <w:color w:val="auto"/>
                <w:w w:val="98"/>
              </w:rPr>
              <w:t>Fair Value</w:t>
            </w:r>
          </w:p>
        </w:tc>
        <w:tc>
          <w:tcPr>
            <w:tcW w:w="1300" w:type="dxa"/>
            <w:vAlign w:val="bottom"/>
            <w:gridSpan w:val="4"/>
          </w:tcPr>
          <w:p>
            <w:pPr>
              <w:ind w:left="320"/>
              <w:spacing w:after="0"/>
              <w:rPr>
                <w:sz w:val="20"/>
                <w:szCs w:val="20"/>
                <w:color w:val="auto"/>
              </w:rPr>
            </w:pPr>
            <w:r>
              <w:rPr>
                <w:rFonts w:ascii="Arial" w:cs="Arial" w:eastAsia="Arial" w:hAnsi="Arial"/>
                <w:sz w:val="14"/>
                <w:szCs w:val="14"/>
                <w:b w:val="1"/>
                <w:bCs w:val="1"/>
                <w:color w:val="auto"/>
                <w:w w:val="99"/>
              </w:rPr>
              <w:t>Estimated Fair</w:t>
            </w:r>
          </w:p>
        </w:tc>
      </w:tr>
      <w:tr>
        <w:trPr>
          <w:trHeight w:val="171"/>
        </w:trPr>
        <w:tc>
          <w:tcPr>
            <w:tcW w:w="20" w:type="dxa"/>
            <w:vAlign w:val="bottom"/>
          </w:tcPr>
          <w:p>
            <w:pPr>
              <w:spacing w:after="0"/>
              <w:rPr>
                <w:sz w:val="14"/>
                <w:szCs w:val="14"/>
                <w:color w:val="auto"/>
              </w:rPr>
            </w:pPr>
          </w:p>
        </w:tc>
        <w:tc>
          <w:tcPr>
            <w:tcW w:w="330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660" w:type="dxa"/>
            <w:vAlign w:val="bottom"/>
            <w:gridSpan w:val="2"/>
          </w:tcPr>
          <w:p>
            <w:pPr>
              <w:ind w:left="300"/>
              <w:spacing w:after="0"/>
              <w:rPr>
                <w:sz w:val="20"/>
                <w:szCs w:val="20"/>
                <w:color w:val="auto"/>
              </w:rPr>
            </w:pPr>
            <w:r>
              <w:rPr>
                <w:rFonts w:ascii="Arial" w:cs="Arial" w:eastAsia="Arial" w:hAnsi="Arial"/>
                <w:sz w:val="14"/>
                <w:szCs w:val="14"/>
                <w:b w:val="1"/>
                <w:bCs w:val="1"/>
                <w:color w:val="auto"/>
              </w:rPr>
              <w:t>Life (1)</w:t>
            </w:r>
          </w:p>
        </w:tc>
        <w:tc>
          <w:tcPr>
            <w:tcW w:w="1480" w:type="dxa"/>
            <w:vAlign w:val="bottom"/>
            <w:gridSpan w:val="4"/>
          </w:tcPr>
          <w:p>
            <w:pPr>
              <w:spacing w:after="0"/>
              <w:rPr>
                <w:sz w:val="20"/>
                <w:szCs w:val="20"/>
                <w:color w:val="auto"/>
              </w:rPr>
            </w:pPr>
            <w:r>
              <w:rPr>
                <w:rFonts w:ascii="Arial" w:cs="Arial" w:eastAsia="Arial" w:hAnsi="Arial"/>
                <w:sz w:val="14"/>
                <w:szCs w:val="14"/>
                <w:b w:val="1"/>
                <w:bCs w:val="1"/>
                <w:color w:val="auto"/>
              </w:rPr>
              <w:t>Carrying Amount</w:t>
            </w:r>
          </w:p>
        </w:tc>
        <w:tc>
          <w:tcPr>
            <w:tcW w:w="1400" w:type="dxa"/>
            <w:vAlign w:val="bottom"/>
            <w:gridSpan w:val="4"/>
          </w:tcPr>
          <w:p>
            <w:pPr>
              <w:ind w:left="300"/>
              <w:spacing w:after="0"/>
              <w:rPr>
                <w:sz w:val="20"/>
                <w:szCs w:val="20"/>
                <w:color w:val="auto"/>
              </w:rPr>
            </w:pPr>
            <w:r>
              <w:rPr>
                <w:rFonts w:ascii="Arial" w:cs="Arial" w:eastAsia="Arial" w:hAnsi="Arial"/>
                <w:sz w:val="14"/>
                <w:szCs w:val="14"/>
                <w:b w:val="1"/>
                <w:bCs w:val="1"/>
                <w:color w:val="auto"/>
              </w:rPr>
              <w:t>Adjustment</w:t>
            </w:r>
          </w:p>
        </w:tc>
        <w:tc>
          <w:tcPr>
            <w:tcW w:w="3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0" w:type="dxa"/>
            <w:vAlign w:val="bottom"/>
            <w:gridSpan w:val="2"/>
          </w:tcPr>
          <w:p>
            <w:pPr>
              <w:ind w:left="100"/>
              <w:spacing w:after="0"/>
              <w:rPr>
                <w:sz w:val="20"/>
                <w:szCs w:val="20"/>
                <w:color w:val="auto"/>
              </w:rPr>
            </w:pPr>
            <w:r>
              <w:rPr>
                <w:rFonts w:ascii="Arial" w:cs="Arial" w:eastAsia="Arial" w:hAnsi="Arial"/>
                <w:sz w:val="14"/>
                <w:szCs w:val="14"/>
                <w:b w:val="1"/>
                <w:bCs w:val="1"/>
                <w:color w:val="auto"/>
              </w:rPr>
              <w:t>Value</w:t>
            </w:r>
          </w:p>
        </w:tc>
      </w:tr>
      <w:tr>
        <w:trPr>
          <w:trHeight w:val="210"/>
        </w:trPr>
        <w:tc>
          <w:tcPr>
            <w:tcW w:w="20" w:type="dxa"/>
            <w:vAlign w:val="bottom"/>
          </w:tcPr>
          <w:p>
            <w:pPr>
              <w:spacing w:after="0"/>
              <w:rPr>
                <w:sz w:val="18"/>
                <w:szCs w:val="18"/>
                <w:color w:val="auto"/>
              </w:rPr>
            </w:pPr>
          </w:p>
        </w:tc>
        <w:tc>
          <w:tcPr>
            <w:tcW w:w="33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Computer equipment</w:t>
            </w:r>
          </w:p>
        </w:tc>
        <w:tc>
          <w:tcPr>
            <w:tcW w:w="980" w:type="dxa"/>
            <w:vAlign w:val="bottom"/>
            <w:tcBorders>
              <w:top w:val="single" w:sz="8" w:color="CCEEFF"/>
            </w:tcBorders>
            <w:shd w:val="clear" w:color="auto" w:fill="CCEEFF"/>
          </w:tcPr>
          <w:p>
            <w:pPr>
              <w:spacing w:after="0"/>
              <w:rPr>
                <w:sz w:val="18"/>
                <w:szCs w:val="18"/>
                <w:color w:val="auto"/>
              </w:rPr>
            </w:pPr>
          </w:p>
        </w:tc>
        <w:tc>
          <w:tcPr>
            <w:tcW w:w="10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 years</w:t>
            </w:r>
          </w:p>
        </w:tc>
        <w:tc>
          <w:tcPr>
            <w:tcW w:w="60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3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7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1,172</w:t>
            </w:r>
          </w:p>
        </w:tc>
        <w:tc>
          <w:tcPr>
            <w:tcW w:w="36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5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(690)</w:t>
            </w:r>
          </w:p>
        </w:tc>
        <w:tc>
          <w:tcPr>
            <w:tcW w:w="36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7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482</w:t>
            </w:r>
          </w:p>
        </w:tc>
        <w:tc>
          <w:tcPr>
            <w:tcW w:w="40" w:type="dxa"/>
            <w:vAlign w:val="bottom"/>
            <w:tcBorders>
              <w:top w:val="single" w:sz="8" w:color="CCEEFF"/>
            </w:tcBorders>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3300" w:type="dxa"/>
            <w:vAlign w:val="bottom"/>
          </w:tcPr>
          <w:p>
            <w:pPr>
              <w:spacing w:after="0"/>
              <w:rPr>
                <w:sz w:val="20"/>
                <w:szCs w:val="20"/>
                <w:color w:val="auto"/>
              </w:rPr>
            </w:pPr>
            <w:r>
              <w:rPr>
                <w:rFonts w:ascii="Arial" w:cs="Arial" w:eastAsia="Arial" w:hAnsi="Arial"/>
                <w:sz w:val="18"/>
                <w:szCs w:val="18"/>
                <w:color w:val="auto"/>
              </w:rPr>
              <w:t>Leasehold improvements</w:t>
            </w:r>
          </w:p>
        </w:tc>
        <w:tc>
          <w:tcPr>
            <w:tcW w:w="980" w:type="dxa"/>
            <w:vAlign w:val="bottom"/>
          </w:tcPr>
          <w:p>
            <w:pPr>
              <w:spacing w:after="0"/>
              <w:rPr>
                <w:sz w:val="18"/>
                <w:szCs w:val="18"/>
                <w:color w:val="auto"/>
              </w:rPr>
            </w:pPr>
          </w:p>
        </w:tc>
        <w:tc>
          <w:tcPr>
            <w:tcW w:w="1660" w:type="dxa"/>
            <w:vAlign w:val="bottom"/>
            <w:gridSpan w:val="2"/>
          </w:tcPr>
          <w:p>
            <w:pPr>
              <w:jc w:val="right"/>
              <w:ind w:right="620"/>
              <w:spacing w:after="0"/>
              <w:rPr>
                <w:sz w:val="20"/>
                <w:szCs w:val="20"/>
                <w:color w:val="auto"/>
              </w:rPr>
            </w:pPr>
            <w:r>
              <w:rPr>
                <w:rFonts w:ascii="Arial" w:cs="Arial" w:eastAsia="Arial" w:hAnsi="Arial"/>
                <w:sz w:val="18"/>
                <w:szCs w:val="18"/>
                <w:color w:val="auto"/>
              </w:rPr>
              <w:t>6 years</w:t>
            </w:r>
          </w:p>
        </w:tc>
        <w:tc>
          <w:tcPr>
            <w:tcW w:w="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2,054</w:t>
            </w:r>
          </w:p>
        </w:tc>
        <w:tc>
          <w:tcPr>
            <w:tcW w:w="3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gridSpan w:val="2"/>
          </w:tcPr>
          <w:p>
            <w:pPr>
              <w:jc w:val="right"/>
              <w:ind w:right="300"/>
              <w:spacing w:after="0"/>
              <w:rPr>
                <w:sz w:val="20"/>
                <w:szCs w:val="20"/>
                <w:color w:val="auto"/>
              </w:rPr>
            </w:pPr>
            <w:r>
              <w:rPr>
                <w:rFonts w:ascii="Arial" w:cs="Arial" w:eastAsia="Arial" w:hAnsi="Arial"/>
                <w:sz w:val="18"/>
                <w:szCs w:val="18"/>
                <w:color w:val="auto"/>
              </w:rPr>
              <w:t>(759)</w:t>
            </w:r>
          </w:p>
        </w:tc>
        <w:tc>
          <w:tcPr>
            <w:tcW w:w="3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1,295</w:t>
            </w:r>
          </w:p>
        </w:tc>
        <w:tc>
          <w:tcPr>
            <w:tcW w:w="4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3300" w:type="dxa"/>
            <w:vAlign w:val="bottom"/>
            <w:shd w:val="clear" w:color="auto" w:fill="CCEEFF"/>
          </w:tcPr>
          <w:p>
            <w:pPr>
              <w:spacing w:after="0"/>
              <w:rPr>
                <w:sz w:val="20"/>
                <w:szCs w:val="20"/>
                <w:color w:val="auto"/>
              </w:rPr>
            </w:pPr>
            <w:r>
              <w:rPr>
                <w:rFonts w:ascii="Arial" w:cs="Arial" w:eastAsia="Arial" w:hAnsi="Arial"/>
                <w:sz w:val="18"/>
                <w:szCs w:val="18"/>
                <w:color w:val="auto"/>
              </w:rPr>
              <w:t>Furniture and fixtures</w:t>
            </w:r>
          </w:p>
        </w:tc>
        <w:tc>
          <w:tcPr>
            <w:tcW w:w="980" w:type="dxa"/>
            <w:vAlign w:val="bottom"/>
            <w:shd w:val="clear" w:color="auto" w:fill="CCEEFF"/>
          </w:tcPr>
          <w:p>
            <w:pPr>
              <w:spacing w:after="0"/>
              <w:rPr>
                <w:sz w:val="18"/>
                <w:szCs w:val="18"/>
                <w:color w:val="auto"/>
              </w:rPr>
            </w:pPr>
          </w:p>
        </w:tc>
        <w:tc>
          <w:tcPr>
            <w:tcW w:w="166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rPr>
              <w:t>3 years</w:t>
            </w:r>
          </w:p>
        </w:tc>
        <w:tc>
          <w:tcPr>
            <w:tcW w:w="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1,954</w:t>
            </w:r>
          </w:p>
        </w:tc>
        <w:tc>
          <w:tcPr>
            <w:tcW w:w="3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(745)</w:t>
            </w:r>
          </w:p>
        </w:tc>
        <w:tc>
          <w:tcPr>
            <w:tcW w:w="3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1,209</w:t>
            </w:r>
          </w:p>
        </w:tc>
        <w:tc>
          <w:tcPr>
            <w:tcW w:w="4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3300" w:type="dxa"/>
            <w:vAlign w:val="bottom"/>
          </w:tcPr>
          <w:p>
            <w:pPr>
              <w:spacing w:after="0"/>
              <w:rPr>
                <w:sz w:val="20"/>
                <w:szCs w:val="20"/>
                <w:color w:val="auto"/>
              </w:rPr>
            </w:pPr>
            <w:r>
              <w:rPr>
                <w:rFonts w:ascii="Arial" w:cs="Arial" w:eastAsia="Arial" w:hAnsi="Arial"/>
                <w:sz w:val="18"/>
                <w:szCs w:val="18"/>
                <w:color w:val="auto"/>
              </w:rPr>
              <w:t>Office equipment</w:t>
            </w:r>
          </w:p>
        </w:tc>
        <w:tc>
          <w:tcPr>
            <w:tcW w:w="980" w:type="dxa"/>
            <w:vAlign w:val="bottom"/>
          </w:tcPr>
          <w:p>
            <w:pPr>
              <w:spacing w:after="0"/>
              <w:rPr>
                <w:sz w:val="18"/>
                <w:szCs w:val="18"/>
                <w:color w:val="auto"/>
              </w:rPr>
            </w:pPr>
          </w:p>
        </w:tc>
        <w:tc>
          <w:tcPr>
            <w:tcW w:w="1660" w:type="dxa"/>
            <w:vAlign w:val="bottom"/>
            <w:gridSpan w:val="2"/>
          </w:tcPr>
          <w:p>
            <w:pPr>
              <w:jc w:val="right"/>
              <w:ind w:right="620"/>
              <w:spacing w:after="0"/>
              <w:rPr>
                <w:sz w:val="20"/>
                <w:szCs w:val="20"/>
                <w:color w:val="auto"/>
              </w:rPr>
            </w:pPr>
            <w:r>
              <w:rPr>
                <w:rFonts w:ascii="Arial" w:cs="Arial" w:eastAsia="Arial" w:hAnsi="Arial"/>
                <w:sz w:val="18"/>
                <w:szCs w:val="18"/>
                <w:color w:val="auto"/>
              </w:rPr>
              <w:t>2 years</w:t>
            </w:r>
          </w:p>
        </w:tc>
        <w:tc>
          <w:tcPr>
            <w:tcW w:w="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75</w:t>
            </w:r>
          </w:p>
        </w:tc>
        <w:tc>
          <w:tcPr>
            <w:tcW w:w="3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gridSpan w:val="2"/>
          </w:tcPr>
          <w:p>
            <w:pPr>
              <w:jc w:val="right"/>
              <w:ind w:right="300"/>
              <w:spacing w:after="0"/>
              <w:rPr>
                <w:sz w:val="20"/>
                <w:szCs w:val="20"/>
                <w:color w:val="auto"/>
              </w:rPr>
            </w:pPr>
            <w:r>
              <w:rPr>
                <w:rFonts w:ascii="Arial" w:cs="Arial" w:eastAsia="Arial" w:hAnsi="Arial"/>
                <w:sz w:val="18"/>
                <w:szCs w:val="18"/>
                <w:color w:val="auto"/>
              </w:rPr>
              <w:t>(41)</w:t>
            </w:r>
          </w:p>
        </w:tc>
        <w:tc>
          <w:tcPr>
            <w:tcW w:w="3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34</w:t>
            </w:r>
          </w:p>
        </w:tc>
        <w:tc>
          <w:tcPr>
            <w:tcW w:w="4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3300" w:type="dxa"/>
            <w:vAlign w:val="bottom"/>
            <w:shd w:val="clear" w:color="auto" w:fill="CCEEFF"/>
          </w:tcPr>
          <w:p>
            <w:pPr>
              <w:spacing w:after="0"/>
              <w:rPr>
                <w:sz w:val="20"/>
                <w:szCs w:val="20"/>
                <w:color w:val="auto"/>
              </w:rPr>
            </w:pPr>
            <w:r>
              <w:rPr>
                <w:rFonts w:ascii="Arial" w:cs="Arial" w:eastAsia="Arial" w:hAnsi="Arial"/>
                <w:sz w:val="18"/>
                <w:szCs w:val="18"/>
                <w:color w:val="auto"/>
              </w:rPr>
              <w:t>CIP - Capital in progress</w:t>
            </w:r>
          </w:p>
        </w:tc>
        <w:tc>
          <w:tcPr>
            <w:tcW w:w="980" w:type="dxa"/>
            <w:vAlign w:val="bottom"/>
            <w:shd w:val="clear" w:color="auto" w:fill="CCEEFF"/>
          </w:tcPr>
          <w:p>
            <w:pPr>
              <w:spacing w:after="0"/>
              <w:rPr>
                <w:sz w:val="18"/>
                <w:szCs w:val="18"/>
                <w:color w:val="auto"/>
              </w:rPr>
            </w:pPr>
          </w:p>
        </w:tc>
        <w:tc>
          <w:tcPr>
            <w:tcW w:w="1660" w:type="dxa"/>
            <w:vAlign w:val="bottom"/>
            <w:gridSpan w:val="2"/>
            <w:shd w:val="clear" w:color="auto" w:fill="CCEEFF"/>
          </w:tcPr>
          <w:p>
            <w:pPr>
              <w:ind w:left="78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431</w:t>
            </w:r>
          </w:p>
        </w:tc>
        <w:tc>
          <w:tcPr>
            <w:tcW w:w="3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431</w:t>
            </w:r>
          </w:p>
        </w:tc>
        <w:tc>
          <w:tcPr>
            <w:tcW w:w="40" w:type="dxa"/>
            <w:vAlign w:val="bottom"/>
            <w:shd w:val="clear" w:color="auto" w:fill="CCEEFF"/>
          </w:tcPr>
          <w:p>
            <w:pPr>
              <w:spacing w:after="0"/>
              <w:rPr>
                <w:sz w:val="18"/>
                <w:szCs w:val="18"/>
                <w:color w:val="auto"/>
              </w:rPr>
            </w:pPr>
          </w:p>
        </w:tc>
      </w:tr>
      <w:tr>
        <w:trPr>
          <w:trHeight w:val="223"/>
        </w:trPr>
        <w:tc>
          <w:tcPr>
            <w:tcW w:w="3320" w:type="dxa"/>
            <w:vAlign w:val="bottom"/>
            <w:gridSpan w:val="2"/>
          </w:tcPr>
          <w:p>
            <w:pPr>
              <w:spacing w:after="0"/>
              <w:rPr>
                <w:sz w:val="20"/>
                <w:szCs w:val="20"/>
                <w:color w:val="auto"/>
              </w:rPr>
            </w:pPr>
            <w:r>
              <w:rPr>
                <w:rFonts w:ascii="Arial" w:cs="Arial" w:eastAsia="Arial" w:hAnsi="Arial"/>
                <w:sz w:val="18"/>
                <w:szCs w:val="18"/>
                <w:color w:val="auto"/>
              </w:rPr>
              <w:t>Total</w:t>
            </w:r>
          </w:p>
        </w:tc>
        <w:tc>
          <w:tcPr>
            <w:tcW w:w="98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60" w:type="dxa"/>
            <w:vAlign w:val="bottom"/>
            <w:tcBorders>
              <w:top w:val="single" w:sz="8" w:color="auto"/>
            </w:tcBorders>
          </w:tcPr>
          <w:p>
            <w:pPr>
              <w:spacing w:after="0"/>
              <w:rPr>
                <w:sz w:val="19"/>
                <w:szCs w:val="19"/>
                <w:color w:val="auto"/>
              </w:rPr>
            </w:pPr>
          </w:p>
        </w:tc>
        <w:tc>
          <w:tcPr>
            <w:tcW w:w="7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5,686</w:t>
            </w:r>
          </w:p>
        </w:tc>
        <w:tc>
          <w:tcPr>
            <w:tcW w:w="3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5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4"/>
              </w:rPr>
              <w:t>(2,235)</w:t>
            </w:r>
          </w:p>
        </w:tc>
        <w:tc>
          <w:tcPr>
            <w:tcW w:w="3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7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3,451</w:t>
            </w:r>
          </w:p>
        </w:tc>
        <w:tc>
          <w:tcPr>
            <w:tcW w:w="4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3300" w:type="dxa"/>
            <w:vAlign w:val="bottom"/>
            <w:shd w:val="clear" w:color="auto" w:fill="CCEEFF"/>
          </w:tcPr>
          <w:p>
            <w:pPr>
              <w:spacing w:after="0"/>
              <w:rPr>
                <w:sz w:val="20"/>
                <w:szCs w:val="20"/>
                <w:color w:val="auto"/>
              </w:rPr>
            </w:pPr>
            <w:r>
              <w:rPr>
                <w:rFonts w:ascii="Arial" w:cs="Arial" w:eastAsia="Arial" w:hAnsi="Arial"/>
                <w:sz w:val="18"/>
                <w:szCs w:val="18"/>
                <w:color w:val="auto"/>
              </w:rPr>
              <w:t>Less: Accumulated depreciation</w:t>
            </w:r>
          </w:p>
        </w:tc>
        <w:tc>
          <w:tcPr>
            <w:tcW w:w="98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(2,545)</w:t>
            </w:r>
          </w:p>
        </w:tc>
        <w:tc>
          <w:tcPr>
            <w:tcW w:w="3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2,545</w:t>
            </w:r>
          </w:p>
        </w:tc>
        <w:tc>
          <w:tcPr>
            <w:tcW w:w="3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0" w:type="dxa"/>
            <w:vAlign w:val="bottom"/>
            <w:gridSpan w:val="2"/>
            <w:shd w:val="clear" w:color="auto" w:fill="CCEEFF"/>
          </w:tcPr>
          <w:p>
            <w:pPr>
              <w:ind w:left="480"/>
              <w:spacing w:after="0"/>
              <w:rPr>
                <w:sz w:val="20"/>
                <w:szCs w:val="20"/>
                <w:color w:val="auto"/>
              </w:rPr>
            </w:pPr>
            <w:r>
              <w:rPr>
                <w:rFonts w:ascii="Arial" w:cs="Arial" w:eastAsia="Arial" w:hAnsi="Arial"/>
                <w:sz w:val="18"/>
                <w:szCs w:val="18"/>
                <w:color w:val="auto"/>
              </w:rPr>
              <w:t>—</w:t>
            </w:r>
          </w:p>
        </w:tc>
      </w:tr>
      <w:tr>
        <w:trPr>
          <w:trHeight w:val="223"/>
        </w:trPr>
        <w:tc>
          <w:tcPr>
            <w:tcW w:w="20" w:type="dxa"/>
            <w:vAlign w:val="bottom"/>
          </w:tcPr>
          <w:p>
            <w:pPr>
              <w:spacing w:after="0"/>
              <w:rPr>
                <w:sz w:val="19"/>
                <w:szCs w:val="19"/>
                <w:color w:val="auto"/>
              </w:rPr>
            </w:pPr>
          </w:p>
        </w:tc>
        <w:tc>
          <w:tcPr>
            <w:tcW w:w="330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36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b w:val="1"/>
                <w:bCs w:val="1"/>
                <w:color w:val="auto"/>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3,141</w:t>
            </w:r>
          </w:p>
        </w:tc>
        <w:tc>
          <w:tcPr>
            <w:tcW w:w="3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6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b w:val="1"/>
                <w:bCs w:val="1"/>
                <w:color w:val="auto"/>
              </w:rPr>
              <w:t>$</w:t>
            </w: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310</w:t>
            </w:r>
          </w:p>
        </w:tc>
        <w:tc>
          <w:tcPr>
            <w:tcW w:w="3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8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b w:val="1"/>
                <w:bCs w:val="1"/>
                <w:color w:val="auto"/>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3,451</w:t>
            </w:r>
          </w:p>
        </w:tc>
        <w:tc>
          <w:tcPr>
            <w:tcW w:w="40" w:type="dxa"/>
            <w:vAlign w:val="bottom"/>
          </w:tcPr>
          <w:p>
            <w:pPr>
              <w:spacing w:after="0"/>
              <w:rPr>
                <w:sz w:val="19"/>
                <w:szCs w:val="19"/>
                <w:color w:val="auto"/>
              </w:rPr>
            </w:pPr>
          </w:p>
        </w:tc>
      </w:tr>
      <w:tr>
        <w:trPr>
          <w:trHeight w:val="20"/>
        </w:trPr>
        <w:tc>
          <w:tcPr>
            <w:tcW w:w="20" w:type="dxa"/>
            <w:vAlign w:val="bottom"/>
          </w:tcPr>
          <w:p>
            <w:pPr>
              <w:spacing w:after="0" w:line="20" w:lineRule="exact"/>
              <w:rPr>
                <w:sz w:val="1"/>
                <w:szCs w:val="1"/>
                <w:color w:val="auto"/>
              </w:rPr>
            </w:pPr>
          </w:p>
        </w:tc>
        <w:tc>
          <w:tcPr>
            <w:tcW w:w="330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spacing w:after="0" w:line="242" w:lineRule="exact"/>
        <w:rPr>
          <w:sz w:val="20"/>
          <w:szCs w:val="20"/>
          <w:color w:val="auto"/>
        </w:rPr>
      </w:pPr>
    </w:p>
    <w:p>
      <w:pPr>
        <w:ind w:left="440" w:hanging="436"/>
        <w:spacing w:after="0"/>
        <w:tabs>
          <w:tab w:leader="none" w:pos="440" w:val="left"/>
        </w:tabs>
        <w:numPr>
          <w:ilvl w:val="0"/>
          <w:numId w:val="18"/>
        </w:numPr>
        <w:rPr>
          <w:rFonts w:ascii="Arial" w:cs="Arial" w:eastAsia="Arial" w:hAnsi="Arial"/>
          <w:sz w:val="18"/>
          <w:szCs w:val="18"/>
          <w:color w:val="auto"/>
        </w:rPr>
      </w:pPr>
      <w:r>
        <w:rPr>
          <w:rFonts w:ascii="Arial" w:cs="Arial" w:eastAsia="Arial" w:hAnsi="Arial"/>
          <w:sz w:val="18"/>
          <w:szCs w:val="18"/>
          <w:color w:val="auto"/>
        </w:rPr>
        <w:t>Represents preliminary estimated useful life of assets to be acquired.</w:t>
      </w:r>
    </w:p>
    <w:p>
      <w:pPr>
        <w:spacing w:after="0" w:line="225" w:lineRule="exact"/>
        <w:rPr>
          <w:sz w:val="20"/>
          <w:szCs w:val="20"/>
          <w:color w:val="auto"/>
        </w:rPr>
      </w:pPr>
    </w:p>
    <w:p>
      <w:pPr>
        <w:ind w:right="20"/>
        <w:spacing w:after="0" w:line="264" w:lineRule="auto"/>
        <w:rPr>
          <w:sz w:val="20"/>
          <w:szCs w:val="20"/>
          <w:color w:val="auto"/>
        </w:rPr>
      </w:pPr>
      <w:r>
        <w:rPr>
          <w:rFonts w:ascii="Arial" w:cs="Arial" w:eastAsia="Arial" w:hAnsi="Arial"/>
          <w:sz w:val="18"/>
          <w:szCs w:val="18"/>
          <w:color w:val="auto"/>
        </w:rPr>
        <w:t>The final determination of fair value of property and equipment, as well as the estimated useful lives, remains subject to change. The finalization may have a material impact on the valuation of property and equipment and the purchase price allocation, which is expected to be finalized subsequent to the closing of the transaction but within the measurement period.</w:t>
      </w:r>
    </w:p>
    <w:p>
      <w:pPr>
        <w:spacing w:after="0" w:line="181" w:lineRule="exact"/>
        <w:rPr>
          <w:sz w:val="20"/>
          <w:szCs w:val="20"/>
          <w:color w:val="auto"/>
        </w:rPr>
      </w:pPr>
    </w:p>
    <w:p>
      <w:pPr>
        <w:ind w:right="100"/>
        <w:spacing w:after="0" w:line="259" w:lineRule="auto"/>
        <w:rPr>
          <w:sz w:val="20"/>
          <w:szCs w:val="20"/>
          <w:color w:val="auto"/>
        </w:rPr>
      </w:pPr>
      <w:r>
        <w:rPr>
          <w:rFonts w:ascii="Arial" w:cs="Arial" w:eastAsia="Arial" w:hAnsi="Arial"/>
          <w:sz w:val="18"/>
          <w:szCs w:val="18"/>
          <w:color w:val="auto"/>
        </w:rPr>
        <w:t>To estimate the fair value of Sirius’ property and equipment, the Company considered valuation analyses of the assets using the sales comparison approach and the cost approach. The Company considered the highest and best use of the assets in selecting a valuation approach for each asset category. Depreciation for both physical deterioration and functional obsolescence was factored into the calculation. Physical deterioration is estimated based on an age-life analysis.</w:t>
      </w:r>
    </w:p>
    <w:p>
      <w:pPr>
        <w:spacing w:after="0" w:line="11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0980"/>
          </w:cols>
          <w:pgMar w:left="440" w:top="270" w:right="479" w:bottom="1440" w:gutter="0" w:footer="0" w:header="0"/>
        </w:sectPr>
      </w:pPr>
    </w:p>
    <w:bookmarkStart w:id="42" w:name="page43"/>
    <w:bookmarkEnd w:id="42"/>
    <w:p>
      <w:pPr>
        <w:ind w:right="20"/>
        <w:spacing w:after="0" w:line="279"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The useful lives are estimated based on Forrester’s historical experience with similar assets, taking into account anticipated technological or other changes. Forrester periodically reviews these lives relative to physical factors, economic factors, and industry trends. If there are changes in the planned use of property and equipment or if technological changes were to occur more rapidly than anticipated, the useful lives assigned to these assets may need to be shortened, resulting in the recognition of increased depreciation and amortization expense in future periods.</w:t>
      </w:r>
    </w:p>
    <w:p>
      <w:pPr>
        <w:spacing w:after="0" w:line="2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C—Goodwill</w:t>
      </w:r>
    </w:p>
    <w:p>
      <w:pPr>
        <w:spacing w:after="0" w:line="121" w:lineRule="exact"/>
        <w:rPr>
          <w:sz w:val="20"/>
          <w:szCs w:val="20"/>
          <w:color w:val="auto"/>
        </w:rPr>
      </w:pPr>
    </w:p>
    <w:p>
      <w:pPr>
        <w:spacing w:after="0"/>
        <w:rPr>
          <w:sz w:val="20"/>
          <w:szCs w:val="20"/>
          <w:color w:val="auto"/>
        </w:rPr>
      </w:pPr>
      <w:r>
        <w:rPr>
          <w:rFonts w:ascii="Arial" w:cs="Arial" w:eastAsia="Arial" w:hAnsi="Arial"/>
          <w:sz w:val="16"/>
          <w:szCs w:val="16"/>
          <w:color w:val="auto"/>
        </w:rPr>
        <w:t>Goodwill represents the future economic benefits arising from other assets acquired in a business combination that are not individually identified and</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separately recognized. Goodwill is calculated as the excess of consideration transferred in the acquisition over the fair value of the tangible assets and</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identifiable intangible assets acquired and liabilities assumed in a business combination. Goodwill acquired in the transaction is estimated to be</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$164.6 million. The estimated goodwill to be recognized is attributable primarily to expected synergies, expanded opportunities in the market, and other</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benefits that Forrester believes will result from combining its operations with the operations of Sirius. The goodwill created in the transaction is not</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color w:val="auto"/>
        </w:rPr>
        <w:t>expected to be deductible for tax purposes. Refer to Note 5.</w:t>
      </w:r>
    </w:p>
    <w:p>
      <w:pPr>
        <w:spacing w:after="0" w:line="3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D—Intangible assets and liabilities</w:t>
      </w:r>
    </w:p>
    <w:p>
      <w:pPr>
        <w:spacing w:after="0" w:line="121" w:lineRule="exact"/>
        <w:rPr>
          <w:sz w:val="20"/>
          <w:szCs w:val="20"/>
          <w:color w:val="auto"/>
        </w:rPr>
      </w:pPr>
    </w:p>
    <w:p>
      <w:pPr>
        <w:ind w:right="200"/>
        <w:spacing w:after="0" w:line="264" w:lineRule="auto"/>
        <w:rPr>
          <w:sz w:val="20"/>
          <w:szCs w:val="20"/>
          <w:color w:val="auto"/>
        </w:rPr>
      </w:pPr>
      <w:r>
        <w:rPr>
          <w:rFonts w:ascii="Arial" w:cs="Arial" w:eastAsia="Arial" w:hAnsi="Arial"/>
          <w:sz w:val="18"/>
          <w:szCs w:val="18"/>
          <w:color w:val="auto"/>
        </w:rPr>
        <w:t>Represents adjustments to record the preliminary estimated fair value of (i) intangible assets of approximately $112.0 million, which is an increase of $111.1 million over Sirius’s historical book value of intangible assets of $0.9 million prior to the transaction and (ii) an intangible liability of approximately $1.4 million.</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color w:val="auto"/>
        </w:rPr>
        <w:t>Identified intangible assets expected to be acquired consist of the following (dollar amounts in thousands):</w:t>
      </w:r>
    </w:p>
    <w:p>
      <w:pPr>
        <w:spacing w:after="0" w:line="244" w:lineRule="exact"/>
        <w:rPr>
          <w:sz w:val="20"/>
          <w:szCs w:val="20"/>
          <w:color w:val="auto"/>
        </w:rPr>
      </w:pPr>
    </w:p>
    <w:tbl>
      <w:tblPr>
        <w:tblLayout w:type="fixed"/>
        <w:tblInd w:w="132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4100" w:type="dxa"/>
            <w:vAlign w:val="bottom"/>
          </w:tcPr>
          <w:p>
            <w:pPr>
              <w:spacing w:after="0"/>
              <w:rPr>
                <w:sz w:val="14"/>
                <w:szCs w:val="14"/>
                <w:color w:val="auto"/>
              </w:rPr>
            </w:pPr>
          </w:p>
        </w:tc>
        <w:tc>
          <w:tcPr>
            <w:tcW w:w="2040" w:type="dxa"/>
            <w:vAlign w:val="bottom"/>
            <w:gridSpan w:val="2"/>
          </w:tcPr>
          <w:p>
            <w:pPr>
              <w:jc w:val="right"/>
              <w:spacing w:after="0"/>
              <w:rPr>
                <w:sz w:val="20"/>
                <w:szCs w:val="20"/>
                <w:color w:val="auto"/>
              </w:rPr>
            </w:pPr>
            <w:r>
              <w:rPr>
                <w:rFonts w:ascii="Arial" w:cs="Arial" w:eastAsia="Arial" w:hAnsi="Arial"/>
                <w:sz w:val="14"/>
                <w:szCs w:val="14"/>
                <w:b w:val="1"/>
                <w:bCs w:val="1"/>
                <w:color w:val="auto"/>
              </w:rPr>
              <w:t>Estimated Useful Life (1)</w:t>
            </w:r>
          </w:p>
        </w:tc>
        <w:tc>
          <w:tcPr>
            <w:tcW w:w="2220" w:type="dxa"/>
            <w:vAlign w:val="bottom"/>
            <w:gridSpan w:val="4"/>
          </w:tcPr>
          <w:p>
            <w:pPr>
              <w:ind w:left="860"/>
              <w:spacing w:after="0"/>
              <w:rPr>
                <w:sz w:val="20"/>
                <w:szCs w:val="20"/>
                <w:color w:val="auto"/>
              </w:rPr>
            </w:pPr>
            <w:r>
              <w:rPr>
                <w:rFonts w:ascii="Arial" w:cs="Arial" w:eastAsia="Arial" w:hAnsi="Arial"/>
                <w:sz w:val="14"/>
                <w:szCs w:val="14"/>
                <w:b w:val="1"/>
                <w:bCs w:val="1"/>
                <w:color w:val="auto"/>
                <w:w w:val="97"/>
              </w:rPr>
              <w:t>Estimated Fair Value</w:t>
            </w:r>
          </w:p>
        </w:tc>
      </w:tr>
      <w:tr>
        <w:trPr>
          <w:trHeight w:val="210"/>
        </w:trPr>
        <w:tc>
          <w:tcPr>
            <w:tcW w:w="20" w:type="dxa"/>
            <w:vAlign w:val="bottom"/>
          </w:tcPr>
          <w:p>
            <w:pPr>
              <w:spacing w:after="0"/>
              <w:rPr>
                <w:sz w:val="18"/>
                <w:szCs w:val="18"/>
                <w:color w:val="auto"/>
              </w:rPr>
            </w:pPr>
          </w:p>
        </w:tc>
        <w:tc>
          <w:tcPr>
            <w:tcW w:w="41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Backlog</w:t>
            </w:r>
          </w:p>
        </w:tc>
        <w:tc>
          <w:tcPr>
            <w:tcW w:w="500" w:type="dxa"/>
            <w:vAlign w:val="bottom"/>
            <w:tcBorders>
              <w:top w:val="single" w:sz="8" w:color="CCEEFF"/>
            </w:tcBorders>
            <w:shd w:val="clear" w:color="auto" w:fill="CCEEFF"/>
          </w:tcPr>
          <w:p>
            <w:pPr>
              <w:spacing w:after="0"/>
              <w:rPr>
                <w:sz w:val="18"/>
                <w:szCs w:val="18"/>
                <w:color w:val="auto"/>
              </w:rPr>
            </w:pPr>
          </w:p>
        </w:tc>
        <w:tc>
          <w:tcPr>
            <w:tcW w:w="15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 years</w:t>
            </w:r>
          </w:p>
        </w:tc>
        <w:tc>
          <w:tcPr>
            <w:tcW w:w="860" w:type="dxa"/>
            <w:vAlign w:val="bottom"/>
            <w:tcBorders>
              <w:top w:val="single" w:sz="8" w:color="CCEEFF"/>
            </w:tcBorders>
            <w:shd w:val="clear" w:color="auto" w:fill="CCEEFF"/>
          </w:tcPr>
          <w:p>
            <w:pPr>
              <w:spacing w:after="0"/>
              <w:rPr>
                <w:sz w:val="18"/>
                <w:szCs w:val="18"/>
                <w:color w:val="auto"/>
              </w:rPr>
            </w:pPr>
          </w:p>
        </w:tc>
        <w:tc>
          <w:tcPr>
            <w:tcW w:w="4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13,000</w:t>
            </w:r>
          </w:p>
        </w:tc>
        <w:tc>
          <w:tcPr>
            <w:tcW w:w="40" w:type="dxa"/>
            <w:vAlign w:val="bottom"/>
            <w:tcBorders>
              <w:top w:val="single" w:sz="8" w:color="CCEEFF"/>
            </w:tcBorders>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100" w:type="dxa"/>
            <w:vAlign w:val="bottom"/>
          </w:tcPr>
          <w:p>
            <w:pPr>
              <w:spacing w:after="0"/>
              <w:rPr>
                <w:sz w:val="20"/>
                <w:szCs w:val="20"/>
                <w:color w:val="auto"/>
              </w:rPr>
            </w:pPr>
            <w:r>
              <w:rPr>
                <w:rFonts w:ascii="Arial" w:cs="Arial" w:eastAsia="Arial" w:hAnsi="Arial"/>
                <w:sz w:val="18"/>
                <w:szCs w:val="18"/>
                <w:color w:val="auto"/>
              </w:rPr>
              <w:t>Customer relationships</w:t>
            </w:r>
          </w:p>
        </w:tc>
        <w:tc>
          <w:tcPr>
            <w:tcW w:w="500" w:type="dxa"/>
            <w:vAlign w:val="bottom"/>
          </w:tcPr>
          <w:p>
            <w:pPr>
              <w:spacing w:after="0"/>
              <w:rPr>
                <w:sz w:val="18"/>
                <w:szCs w:val="18"/>
                <w:color w:val="auto"/>
              </w:rPr>
            </w:pPr>
          </w:p>
        </w:tc>
        <w:tc>
          <w:tcPr>
            <w:tcW w:w="1540" w:type="dxa"/>
            <w:vAlign w:val="bottom"/>
          </w:tcPr>
          <w:p>
            <w:pPr>
              <w:jc w:val="right"/>
              <w:spacing w:after="0"/>
              <w:rPr>
                <w:sz w:val="20"/>
                <w:szCs w:val="20"/>
                <w:color w:val="auto"/>
              </w:rPr>
            </w:pPr>
            <w:r>
              <w:rPr>
                <w:rFonts w:ascii="Arial" w:cs="Arial" w:eastAsia="Arial" w:hAnsi="Arial"/>
                <w:sz w:val="18"/>
                <w:szCs w:val="18"/>
                <w:color w:val="auto"/>
              </w:rPr>
              <w:t>10.5 years</w:t>
            </w:r>
          </w:p>
        </w:tc>
        <w:tc>
          <w:tcPr>
            <w:tcW w:w="8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73,000</w:t>
            </w:r>
          </w:p>
        </w:tc>
        <w:tc>
          <w:tcPr>
            <w:tcW w:w="4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100" w:type="dxa"/>
            <w:vAlign w:val="bottom"/>
            <w:shd w:val="clear" w:color="auto" w:fill="CCEEFF"/>
          </w:tcPr>
          <w:p>
            <w:pPr>
              <w:spacing w:after="0"/>
              <w:rPr>
                <w:sz w:val="20"/>
                <w:szCs w:val="20"/>
                <w:color w:val="auto"/>
              </w:rPr>
            </w:pPr>
            <w:r>
              <w:rPr>
                <w:rFonts w:ascii="Arial" w:cs="Arial" w:eastAsia="Arial" w:hAnsi="Arial"/>
                <w:sz w:val="18"/>
                <w:szCs w:val="18"/>
                <w:color w:val="auto"/>
              </w:rPr>
              <w:t>Trade names</w:t>
            </w:r>
          </w:p>
        </w:tc>
        <w:tc>
          <w:tcPr>
            <w:tcW w:w="500" w:type="dxa"/>
            <w:vAlign w:val="bottom"/>
            <w:shd w:val="clear" w:color="auto" w:fill="CCEEFF"/>
          </w:tcPr>
          <w:p>
            <w:pPr>
              <w:spacing w:after="0"/>
              <w:rPr>
                <w:sz w:val="18"/>
                <w:szCs w:val="18"/>
                <w:color w:val="auto"/>
              </w:rPr>
            </w:pPr>
          </w:p>
        </w:tc>
        <w:tc>
          <w:tcPr>
            <w:tcW w:w="1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 years</w:t>
            </w:r>
          </w:p>
        </w:tc>
        <w:tc>
          <w:tcPr>
            <w:tcW w:w="86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12,000</w:t>
            </w:r>
          </w:p>
        </w:tc>
        <w:tc>
          <w:tcPr>
            <w:tcW w:w="40" w:type="dxa"/>
            <w:vAlign w:val="bottom"/>
            <w:shd w:val="clear" w:color="auto" w:fill="CCEEFF"/>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4100" w:type="dxa"/>
            <w:vAlign w:val="bottom"/>
          </w:tcPr>
          <w:p>
            <w:pPr>
              <w:spacing w:after="0"/>
              <w:rPr>
                <w:sz w:val="20"/>
                <w:szCs w:val="20"/>
                <w:color w:val="auto"/>
              </w:rPr>
            </w:pPr>
            <w:r>
              <w:rPr>
                <w:rFonts w:ascii="Arial" w:cs="Arial" w:eastAsia="Arial" w:hAnsi="Arial"/>
                <w:sz w:val="18"/>
                <w:szCs w:val="18"/>
                <w:color w:val="auto"/>
              </w:rPr>
              <w:t>Technologies</w:t>
            </w:r>
          </w:p>
        </w:tc>
        <w:tc>
          <w:tcPr>
            <w:tcW w:w="50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Arial" w:cs="Arial" w:eastAsia="Arial" w:hAnsi="Arial"/>
                <w:sz w:val="18"/>
                <w:szCs w:val="18"/>
                <w:color w:val="auto"/>
              </w:rPr>
              <w:t>3 years</w:t>
            </w:r>
          </w:p>
        </w:tc>
        <w:tc>
          <w:tcPr>
            <w:tcW w:w="860" w:type="dxa"/>
            <w:vAlign w:val="bottom"/>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14,000</w:t>
            </w:r>
          </w:p>
        </w:tc>
        <w:tc>
          <w:tcPr>
            <w:tcW w:w="4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4100" w:type="dxa"/>
            <w:vAlign w:val="bottom"/>
            <w:shd w:val="clear" w:color="auto" w:fill="CCEEFF"/>
          </w:tcPr>
          <w:p>
            <w:pPr>
              <w:spacing w:after="0"/>
              <w:rPr>
                <w:sz w:val="20"/>
                <w:szCs w:val="20"/>
                <w:color w:val="auto"/>
              </w:rPr>
            </w:pPr>
            <w:r>
              <w:rPr>
                <w:rFonts w:ascii="Arial" w:cs="Arial" w:eastAsia="Arial" w:hAnsi="Arial"/>
                <w:sz w:val="18"/>
                <w:szCs w:val="18"/>
                <w:color w:val="auto"/>
              </w:rPr>
              <w:t>Estimated fair value of identified intangible assets</w:t>
            </w:r>
          </w:p>
        </w:tc>
        <w:tc>
          <w:tcPr>
            <w:tcW w:w="500" w:type="dxa"/>
            <w:vAlign w:val="bottom"/>
            <w:shd w:val="clear" w:color="auto" w:fill="CCEEFF"/>
          </w:tcPr>
          <w:p>
            <w:pPr>
              <w:spacing w:after="0"/>
              <w:rPr>
                <w:sz w:val="18"/>
                <w:szCs w:val="18"/>
                <w:color w:val="auto"/>
              </w:rPr>
            </w:pPr>
          </w:p>
        </w:tc>
        <w:tc>
          <w:tcPr>
            <w:tcW w:w="154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ind w:left="860"/>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112,000</w:t>
            </w:r>
          </w:p>
        </w:tc>
        <w:tc>
          <w:tcPr>
            <w:tcW w:w="40" w:type="dxa"/>
            <w:vAlign w:val="bottom"/>
            <w:shd w:val="clear" w:color="auto" w:fill="CCEEFF"/>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41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spacing w:after="0" w:line="242" w:lineRule="exact"/>
        <w:rPr>
          <w:sz w:val="20"/>
          <w:szCs w:val="20"/>
          <w:color w:val="auto"/>
        </w:rPr>
      </w:pPr>
    </w:p>
    <w:p>
      <w:pPr>
        <w:ind w:left="440" w:hanging="436"/>
        <w:spacing w:after="0"/>
        <w:tabs>
          <w:tab w:leader="none" w:pos="440" w:val="left"/>
        </w:tabs>
        <w:numPr>
          <w:ilvl w:val="0"/>
          <w:numId w:val="19"/>
        </w:numPr>
        <w:rPr>
          <w:rFonts w:ascii="Arial" w:cs="Arial" w:eastAsia="Arial" w:hAnsi="Arial"/>
          <w:sz w:val="18"/>
          <w:szCs w:val="18"/>
          <w:color w:val="auto"/>
        </w:rPr>
      </w:pPr>
      <w:r>
        <w:rPr>
          <w:rFonts w:ascii="Arial" w:cs="Arial" w:eastAsia="Arial" w:hAnsi="Arial"/>
          <w:sz w:val="18"/>
          <w:szCs w:val="18"/>
          <w:color w:val="auto"/>
        </w:rPr>
        <w:t>Represents preliminary estimated useful life of assets to be acquired.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Identified intangible liabilities expected to be assumed consist of the following (dollar amount in thousands):</w:t>
      </w:r>
    </w:p>
    <w:p>
      <w:pPr>
        <w:spacing w:after="0" w:line="244" w:lineRule="exact"/>
        <w:rPr>
          <w:sz w:val="20"/>
          <w:szCs w:val="20"/>
          <w:color w:val="auto"/>
        </w:rPr>
      </w:pPr>
    </w:p>
    <w:tbl>
      <w:tblPr>
        <w:tblLayout w:type="fixed"/>
        <w:tblInd w:w="132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3380" w:type="dxa"/>
            <w:vAlign w:val="bottom"/>
          </w:tcPr>
          <w:p>
            <w:pPr>
              <w:spacing w:after="0"/>
              <w:rPr>
                <w:sz w:val="14"/>
                <w:szCs w:val="14"/>
                <w:color w:val="auto"/>
              </w:rPr>
            </w:pPr>
          </w:p>
        </w:tc>
        <w:tc>
          <w:tcPr>
            <w:tcW w:w="2660" w:type="dxa"/>
            <w:vAlign w:val="bottom"/>
            <w:gridSpan w:val="2"/>
          </w:tcPr>
          <w:p>
            <w:pPr>
              <w:jc w:val="right"/>
              <w:spacing w:after="0"/>
              <w:rPr>
                <w:sz w:val="20"/>
                <w:szCs w:val="20"/>
                <w:color w:val="auto"/>
              </w:rPr>
            </w:pPr>
            <w:r>
              <w:rPr>
                <w:rFonts w:ascii="Arial" w:cs="Arial" w:eastAsia="Arial" w:hAnsi="Arial"/>
                <w:sz w:val="14"/>
                <w:szCs w:val="14"/>
                <w:b w:val="1"/>
                <w:bCs w:val="1"/>
                <w:color w:val="auto"/>
              </w:rPr>
              <w:t>Estimated Useful Life (1)</w:t>
            </w:r>
          </w:p>
        </w:tc>
        <w:tc>
          <w:tcPr>
            <w:tcW w:w="2320" w:type="dxa"/>
            <w:vAlign w:val="bottom"/>
            <w:gridSpan w:val="4"/>
          </w:tcPr>
          <w:p>
            <w:pPr>
              <w:ind w:left="960"/>
              <w:spacing w:after="0"/>
              <w:rPr>
                <w:sz w:val="20"/>
                <w:szCs w:val="20"/>
                <w:color w:val="auto"/>
              </w:rPr>
            </w:pPr>
            <w:r>
              <w:rPr>
                <w:rFonts w:ascii="Arial" w:cs="Arial" w:eastAsia="Arial" w:hAnsi="Arial"/>
                <w:sz w:val="14"/>
                <w:szCs w:val="14"/>
                <w:b w:val="1"/>
                <w:bCs w:val="1"/>
                <w:color w:val="auto"/>
                <w:w w:val="97"/>
              </w:rPr>
              <w:t>Estimated Fair Value</w:t>
            </w:r>
          </w:p>
        </w:tc>
      </w:tr>
      <w:tr>
        <w:trPr>
          <w:trHeight w:val="210"/>
        </w:trPr>
        <w:tc>
          <w:tcPr>
            <w:tcW w:w="20" w:type="dxa"/>
            <w:vAlign w:val="bottom"/>
          </w:tcPr>
          <w:p>
            <w:pPr>
              <w:spacing w:after="0"/>
              <w:rPr>
                <w:sz w:val="18"/>
                <w:szCs w:val="18"/>
                <w:color w:val="auto"/>
              </w:rPr>
            </w:pPr>
          </w:p>
        </w:tc>
        <w:tc>
          <w:tcPr>
            <w:tcW w:w="33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Unfavorable leasehold interests</w:t>
            </w:r>
          </w:p>
        </w:tc>
        <w:tc>
          <w:tcPr>
            <w:tcW w:w="1120" w:type="dxa"/>
            <w:vAlign w:val="bottom"/>
            <w:tcBorders>
              <w:top w:val="single" w:sz="8" w:color="CCEEFF"/>
            </w:tcBorders>
            <w:shd w:val="clear" w:color="auto" w:fill="CCEEFF"/>
          </w:tcPr>
          <w:p>
            <w:pPr>
              <w:spacing w:after="0"/>
              <w:rPr>
                <w:sz w:val="18"/>
                <w:szCs w:val="18"/>
                <w:color w:val="auto"/>
              </w:rPr>
            </w:pPr>
          </w:p>
        </w:tc>
        <w:tc>
          <w:tcPr>
            <w:tcW w:w="15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4.3 years</w:t>
            </w:r>
          </w:p>
        </w:tc>
        <w:tc>
          <w:tcPr>
            <w:tcW w:w="960" w:type="dxa"/>
            <w:vAlign w:val="bottom"/>
            <w:tcBorders>
              <w:top w:val="single" w:sz="8" w:color="CCEEFF"/>
            </w:tcBorders>
            <w:shd w:val="clear" w:color="auto" w:fill="CCEEFF"/>
          </w:tcPr>
          <w:p>
            <w:pPr>
              <w:spacing w:after="0"/>
              <w:rPr>
                <w:sz w:val="18"/>
                <w:szCs w:val="18"/>
                <w:color w:val="auto"/>
              </w:rPr>
            </w:pPr>
          </w:p>
        </w:tc>
        <w:tc>
          <w:tcPr>
            <w:tcW w:w="50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1,380</w:t>
            </w:r>
          </w:p>
        </w:tc>
        <w:tc>
          <w:tcPr>
            <w:tcW w:w="40" w:type="dxa"/>
            <w:vAlign w:val="bottom"/>
            <w:tcBorders>
              <w:top w:val="single" w:sz="8" w:color="CCEEFF"/>
            </w:tcBorders>
            <w:shd w:val="clear" w:color="auto" w:fill="CCEEFF"/>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338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spacing w:after="0" w:line="242" w:lineRule="exact"/>
        <w:rPr>
          <w:sz w:val="20"/>
          <w:szCs w:val="20"/>
          <w:color w:val="auto"/>
        </w:rPr>
      </w:pPr>
    </w:p>
    <w:p>
      <w:pPr>
        <w:ind w:left="440" w:hanging="436"/>
        <w:spacing w:after="0"/>
        <w:tabs>
          <w:tab w:leader="none" w:pos="440" w:val="left"/>
        </w:tabs>
        <w:numPr>
          <w:ilvl w:val="0"/>
          <w:numId w:val="20"/>
        </w:numPr>
        <w:rPr>
          <w:rFonts w:ascii="Arial" w:cs="Arial" w:eastAsia="Arial" w:hAnsi="Arial"/>
          <w:sz w:val="18"/>
          <w:szCs w:val="18"/>
          <w:color w:val="auto"/>
        </w:rPr>
      </w:pPr>
      <w:r>
        <w:rPr>
          <w:rFonts w:ascii="Arial" w:cs="Arial" w:eastAsia="Arial" w:hAnsi="Arial"/>
          <w:sz w:val="18"/>
          <w:szCs w:val="18"/>
          <w:color w:val="auto"/>
        </w:rPr>
        <w:t>Represents preliminary estimated useful life of assets to be acquired.</w:t>
      </w:r>
    </w:p>
    <w:p>
      <w:pPr>
        <w:spacing w:after="0" w:line="225" w:lineRule="exact"/>
        <w:rPr>
          <w:sz w:val="20"/>
          <w:szCs w:val="20"/>
          <w:color w:val="auto"/>
        </w:rPr>
      </w:pPr>
    </w:p>
    <w:p>
      <w:pPr>
        <w:spacing w:after="0" w:line="270" w:lineRule="auto"/>
        <w:rPr>
          <w:sz w:val="20"/>
          <w:szCs w:val="20"/>
          <w:color w:val="auto"/>
        </w:rPr>
      </w:pPr>
      <w:r>
        <w:rPr>
          <w:rFonts w:ascii="Arial" w:cs="Arial" w:eastAsia="Arial" w:hAnsi="Arial"/>
          <w:sz w:val="17"/>
          <w:szCs w:val="17"/>
          <w:color w:val="auto"/>
        </w:rPr>
        <w:t>The fair value estimate for all identifiable intangible assets and liabilities is based on assumptions that market participants would use in pricing an asset, based on the most advantageous market for the asset (i.e., its highest and best use). The estimated fair value of backlog was determined by using the multi-period excess earnings method under the income approach. The estimated fair value of acquired customer relationships was determined with the excess earnings method, which is a variation of the income approach. This approach calculates the excess of the future cash inflows (i.e., revenue from customers generated from the relationships) over the related cash outflows (i.e., customer servicing expenses) generated over the useful life of the relationship. The estimated fair value of trade names was determined with the relief from royalty method, which is a commonly used variation of the income approach. The Company considered the return on assets and market comparable methods when estimating an appropriate royalty rate for the trade names. The estimated fair value of technologies was determined utilizing the replacement cost method under the cost approach. The estimated fair value of unfavorable leasehold interests</w:t>
      </w:r>
    </w:p>
    <w:p>
      <w:pPr>
        <w:spacing w:after="0" w:line="114"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0960"/>
          </w:cols>
          <w:pgMar w:left="440" w:top="274" w:right="499" w:bottom="1440" w:gutter="0" w:footer="0" w:header="0"/>
        </w:sectPr>
      </w:pPr>
    </w:p>
    <w:bookmarkStart w:id="43" w:name="page44"/>
    <w:bookmarkEnd w:id="43"/>
    <w:p>
      <w:pPr>
        <w:jc w:val="both"/>
        <w:ind w:right="40"/>
        <w:spacing w:after="0" w:line="286"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was determined based on the present value (using a discount rate that reflects the risks associated with the property acquired and the respective tenants) of the difference between (i) the contractual amounts to be paid pursuant to the in-place leases and (ii) management’s estimates of fair market lease rates for the comparable in-place leases, measured over a period equal to the remaining non-cancelable terms of the leases.</w:t>
      </w:r>
    </w:p>
    <w:p>
      <w:pPr>
        <w:spacing w:after="0" w:line="166" w:lineRule="exact"/>
        <w:rPr>
          <w:sz w:val="20"/>
          <w:szCs w:val="20"/>
          <w:color w:val="auto"/>
        </w:rPr>
      </w:pPr>
    </w:p>
    <w:p>
      <w:pPr>
        <w:spacing w:after="0" w:line="264" w:lineRule="auto"/>
        <w:rPr>
          <w:sz w:val="20"/>
          <w:szCs w:val="20"/>
          <w:color w:val="auto"/>
        </w:rPr>
      </w:pPr>
      <w:r>
        <w:rPr>
          <w:rFonts w:ascii="Arial" w:cs="Arial" w:eastAsia="Arial" w:hAnsi="Arial"/>
          <w:sz w:val="18"/>
          <w:szCs w:val="18"/>
          <w:color w:val="auto"/>
        </w:rPr>
        <w:t>The final determination of fair value of intangible assets and liabilities, as well as estimated useful lives, remains subject to change. The finalization may have a material impact on the valuation of intangible assets and the purchase price allocation, which is expected to be finalized subsequent to the transaction but within the measurement period.</w:t>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E—Long-term and short-term debt</w:t>
      </w:r>
    </w:p>
    <w:p>
      <w:pPr>
        <w:spacing w:after="0" w:line="121" w:lineRule="exact"/>
        <w:rPr>
          <w:sz w:val="20"/>
          <w:szCs w:val="20"/>
          <w:color w:val="auto"/>
        </w:rPr>
      </w:pPr>
    </w:p>
    <w:p>
      <w:pPr>
        <w:ind w:right="120"/>
        <w:spacing w:after="0" w:line="276" w:lineRule="auto"/>
        <w:rPr>
          <w:sz w:val="20"/>
          <w:szCs w:val="20"/>
          <w:color w:val="auto"/>
        </w:rPr>
      </w:pPr>
      <w:r>
        <w:rPr>
          <w:rFonts w:ascii="Arial" w:cs="Arial" w:eastAsia="Arial" w:hAnsi="Arial"/>
          <w:sz w:val="17"/>
          <w:szCs w:val="17"/>
          <w:color w:val="auto"/>
        </w:rPr>
        <w:t>In connection with the Acquisition, the Company borrowed $175 million on January 3, 2019, pursuant to the terms of the Credit Agreement, consisting of $125 million of borrowings under the Term Loan and $50 million of borrowings under the Revolving Credit Facility. The Company incurred debt issuance costs in the amount of $2.8 million with respect to the Term Loan, which are netted against the loan amount. The Company incurred debt issuance costs in the amount of $1.4 million with respect to the Revolving Credit Facility which are recorded in “other assets”. Accordingly, the Company recorded $165.9 million and $6.3 million as long-term and short-term debt, respectively.</w:t>
      </w:r>
    </w:p>
    <w:p>
      <w:pPr>
        <w:spacing w:after="0" w:line="173"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Amounts borrowed under the Credit Facilities bear interest, at Forrester’s option, at a rate per annum equal to either (i) LIBOR for the applicable interest period plus a margin that is between 1.75% and 2.50% based on Forrester’s consolidated total leverage ratio or (ii) the applicable base rate plus a margin that is between 0.75% and 1.50% based on Forrester’s consolidated total leverage ratio.</w:t>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F—Deferred revenue</w:t>
      </w:r>
    </w:p>
    <w:p>
      <w:pPr>
        <w:spacing w:after="0" w:line="121" w:lineRule="exact"/>
        <w:rPr>
          <w:sz w:val="20"/>
          <w:szCs w:val="20"/>
          <w:color w:val="auto"/>
        </w:rPr>
      </w:pPr>
    </w:p>
    <w:p>
      <w:pPr>
        <w:ind w:right="60"/>
        <w:spacing w:after="0" w:line="276" w:lineRule="auto"/>
        <w:rPr>
          <w:sz w:val="20"/>
          <w:szCs w:val="20"/>
          <w:color w:val="auto"/>
        </w:rPr>
      </w:pPr>
      <w:r>
        <w:rPr>
          <w:rFonts w:ascii="Arial" w:cs="Arial" w:eastAsia="Arial" w:hAnsi="Arial"/>
          <w:sz w:val="17"/>
          <w:szCs w:val="17"/>
          <w:color w:val="auto"/>
        </w:rPr>
        <w:t>This adjustment represents the estimate to decrease the assumed deferred revenue obligations to a fair value of approximately $21.3 million, a reduction of $9.2 million from the carrying value. The current portion amounts to $8.9 million and the non-current portion amounts to $312 thousand. The calculation of fair value is preliminary and subject to change. The fair value was determined based on the estimated costs to fulfill the remaining contractual obligations plus a normal profit margin. After the Acquisition, this adjustment will have a continuing impact and will reduce revenue related to the assumed performance obligations as the services are provided over the next two years.</w:t>
      </w:r>
    </w:p>
    <w:p>
      <w:pPr>
        <w:spacing w:after="0" w:line="2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 – Deferred commission</w:t>
      </w:r>
    </w:p>
    <w:p>
      <w:pPr>
        <w:spacing w:after="0" w:line="121" w:lineRule="exact"/>
        <w:rPr>
          <w:sz w:val="20"/>
          <w:szCs w:val="20"/>
          <w:color w:val="auto"/>
        </w:rPr>
      </w:pPr>
    </w:p>
    <w:p>
      <w:pPr>
        <w:ind w:right="200"/>
        <w:spacing w:after="0" w:line="277" w:lineRule="auto"/>
        <w:rPr>
          <w:sz w:val="20"/>
          <w:szCs w:val="20"/>
          <w:color w:val="auto"/>
        </w:rPr>
      </w:pPr>
      <w:r>
        <w:rPr>
          <w:rFonts w:ascii="Arial" w:cs="Arial" w:eastAsia="Arial" w:hAnsi="Arial"/>
          <w:sz w:val="18"/>
          <w:szCs w:val="18"/>
          <w:color w:val="auto"/>
        </w:rPr>
        <w:t>This adjustment represents the elimination of deferred commission account in the amount of $0.7 million since it will be included within the customer relationship intangible asset.</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 – Deferred rent</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This adjustment represents the elimination of deferred rent in the amount of $1.6 million recorded on Sirius financial statements.</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020"/>
          </w:cols>
          <w:pgMar w:left="440" w:top="274" w:right="439" w:bottom="1440" w:gutter="0" w:footer="0" w:header="0"/>
        </w:sectPr>
      </w:pPr>
    </w:p>
    <w:bookmarkStart w:id="44" w:name="page45"/>
    <w:bookmarkEnd w:id="44"/>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289165" cy="38100"/>
                    </a:xfrm>
                    <a:prstGeom prst="rect">
                      <a:avLst/>
                    </a:prstGeom>
                    <a:noFill/>
                  </pic:spPr>
                </pic:pic>
              </a:graphicData>
            </a:graphic>
          </wp:anchor>
        </w:drawing>
        <w:t>I –Convertible preferred stock and stockholders’ equity</w:t>
      </w:r>
    </w:p>
    <w:p>
      <w:pPr>
        <w:spacing w:after="0" w:line="121"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Represents the elimination of Sirius capital, accumulated deficit, and accumulated other comprehensive income, as well as the recognition of transaction costs incurred on January 3, 2019 by Forrester (amounts in thousands):</w:t>
      </w:r>
    </w:p>
    <w:p>
      <w:pPr>
        <w:sectPr>
          <w:pgSz w:w="11900" w:h="16838" w:orient="portrait"/>
          <w:cols w:equalWidth="0" w:num="1">
            <w:col w:w="11000"/>
          </w:cols>
          <w:pgMar w:left="440" w:top="270" w:right="459" w:bottom="1440" w:gutter="0" w:footer="0" w:header="0"/>
        </w:sectPr>
      </w:pPr>
    </w:p>
    <w:p>
      <w:pPr>
        <w:spacing w:after="0" w:line="200" w:lineRule="exact"/>
        <w:rPr>
          <w:sz w:val="20"/>
          <w:szCs w:val="20"/>
          <w:color w:val="auto"/>
        </w:rPr>
      </w:pPr>
    </w:p>
    <w:p>
      <w:pPr>
        <w:spacing w:after="0" w:line="295" w:lineRule="exact"/>
        <w:rPr>
          <w:sz w:val="20"/>
          <w:szCs w:val="20"/>
          <w:color w:val="auto"/>
        </w:rPr>
      </w:pPr>
    </w:p>
    <w:p>
      <w:pPr>
        <w:ind w:left="1780"/>
        <w:spacing w:after="0"/>
        <w:rPr>
          <w:sz w:val="20"/>
          <w:szCs w:val="20"/>
          <w:color w:val="auto"/>
        </w:rPr>
      </w:pPr>
      <w:r>
        <w:rPr>
          <w:rFonts w:ascii="Arial" w:cs="Arial" w:eastAsia="Arial" w:hAnsi="Arial"/>
          <w:sz w:val="18"/>
          <w:szCs w:val="18"/>
          <w:color w:val="auto"/>
        </w:rPr>
        <w:t>Elimination of historical Sirius convertible preferred stock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1130300</wp:posOffset>
            </wp:positionH>
            <wp:positionV relativeFrom="paragraph">
              <wp:posOffset>-121920</wp:posOffset>
            </wp:positionV>
            <wp:extent cx="4751070" cy="14605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4751070" cy="146050"/>
                    </a:xfrm>
                    <a:prstGeom prst="rect">
                      <a:avLst/>
                    </a:prstGeom>
                    <a:noFill/>
                  </pic:spPr>
                </pic:pic>
              </a:graphicData>
            </a:graphic>
          </wp:anchor>
        </w:drawing>
      </w:r>
    </w:p>
    <w:p>
      <w:pPr>
        <w:spacing w:after="0" w:line="57" w:lineRule="exact"/>
        <w:rPr>
          <w:sz w:val="20"/>
          <w:szCs w:val="20"/>
          <w:color w:val="auto"/>
        </w:rPr>
      </w:pPr>
    </w:p>
    <w:p>
      <w:pPr>
        <w:ind w:left="1780"/>
        <w:spacing w:after="0"/>
        <w:rPr>
          <w:sz w:val="20"/>
          <w:szCs w:val="20"/>
          <w:color w:val="auto"/>
        </w:rPr>
      </w:pPr>
      <w:r>
        <w:rPr>
          <w:rFonts w:ascii="Arial" w:cs="Arial" w:eastAsia="Arial" w:hAnsi="Arial"/>
          <w:sz w:val="18"/>
          <w:szCs w:val="18"/>
          <w:color w:val="auto"/>
        </w:rPr>
        <w:t>Elimination of historical Sirius common stock</w:t>
      </w:r>
    </w:p>
    <w:p>
      <w:pPr>
        <w:spacing w:after="0" w:line="23" w:lineRule="exact"/>
        <w:rPr>
          <w:sz w:val="20"/>
          <w:szCs w:val="20"/>
          <w:color w:val="auto"/>
        </w:rPr>
      </w:pPr>
    </w:p>
    <w:p>
      <w:pPr>
        <w:ind w:left="1780"/>
        <w:spacing w:after="0"/>
        <w:rPr>
          <w:sz w:val="20"/>
          <w:szCs w:val="20"/>
          <w:color w:val="auto"/>
        </w:rPr>
      </w:pPr>
      <w:r>
        <w:rPr>
          <w:rFonts w:ascii="Arial" w:cs="Arial" w:eastAsia="Arial" w:hAnsi="Arial"/>
          <w:sz w:val="18"/>
          <w:szCs w:val="18"/>
          <w:color w:val="auto"/>
        </w:rPr>
        <w:t>Elimination of historical Sirius accumulated deficit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1130300</wp:posOffset>
            </wp:positionH>
            <wp:positionV relativeFrom="paragraph">
              <wp:posOffset>-130810</wp:posOffset>
            </wp:positionV>
            <wp:extent cx="4751070" cy="13716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4751070" cy="137160"/>
                    </a:xfrm>
                    <a:prstGeom prst="rect">
                      <a:avLst/>
                    </a:prstGeom>
                    <a:noFill/>
                  </pic:spPr>
                </pic:pic>
              </a:graphicData>
            </a:graphic>
          </wp:anchor>
        </w:drawing>
      </w:r>
    </w:p>
    <w:p>
      <w:pPr>
        <w:ind w:left="1780" w:right="300"/>
        <w:spacing w:after="0" w:line="255" w:lineRule="auto"/>
        <w:rPr>
          <w:sz w:val="20"/>
          <w:szCs w:val="20"/>
          <w:color w:val="auto"/>
        </w:rPr>
      </w:pPr>
      <w:r>
        <w:rPr>
          <w:rFonts w:ascii="Arial" w:cs="Arial" w:eastAsia="Arial" w:hAnsi="Arial"/>
          <w:sz w:val="18"/>
          <w:szCs w:val="18"/>
          <w:color w:val="auto"/>
        </w:rPr>
        <w:t>Elimination of historical Sirius accumulated other comprehensive income Transaction-related costs (1)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1130300</wp:posOffset>
            </wp:positionH>
            <wp:positionV relativeFrom="paragraph">
              <wp:posOffset>-141605</wp:posOffset>
            </wp:positionV>
            <wp:extent cx="4751070" cy="13716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4751070" cy="137160"/>
                    </a:xfrm>
                    <a:prstGeom prst="rect">
                      <a:avLst/>
                    </a:prstGeom>
                    <a:noFill/>
                  </pic:spPr>
                </pic:pic>
              </a:graphicData>
            </a:graphic>
          </wp:anchor>
        </w:drawing>
      </w:r>
    </w:p>
    <w:p>
      <w:pPr>
        <w:ind w:left="1780"/>
        <w:spacing w:after="0"/>
        <w:rPr>
          <w:sz w:val="20"/>
          <w:szCs w:val="20"/>
          <w:color w:val="auto"/>
        </w:rPr>
      </w:pPr>
      <w:r>
        <w:rPr>
          <w:rFonts w:ascii="Arial" w:cs="Arial" w:eastAsia="Arial" w:hAnsi="Arial"/>
          <w:sz w:val="18"/>
          <w:szCs w:val="18"/>
          <w:b w:val="1"/>
          <w:bCs w:val="1"/>
          <w:color w:val="auto"/>
        </w:rPr>
        <w:t>Total adjustments to stockholders’ equity</w:t>
      </w:r>
    </w:p>
    <w:p>
      <w:pPr>
        <w:spacing w:after="0" w:line="20" w:lineRule="exact"/>
        <w:rPr>
          <w:sz w:val="20"/>
          <w:szCs w:val="20"/>
          <w:color w:val="auto"/>
        </w:rPr>
      </w:pPr>
      <w:r>
        <w:rPr>
          <w:sz w:val="20"/>
          <w:szCs w:val="20"/>
          <w:color w:val="auto"/>
        </w:rPr>
        <w:br w:type="column"/>
      </w:r>
    </w:p>
    <w:p>
      <w:pPr>
        <w:spacing w:after="0" w:line="169" w:lineRule="exact"/>
        <w:rPr>
          <w:sz w:val="20"/>
          <w:szCs w:val="20"/>
          <w:color w:val="auto"/>
        </w:rPr>
      </w:pPr>
    </w:p>
    <w:p>
      <w:pPr>
        <w:jc w:val="center"/>
        <w:ind w:right="1860"/>
        <w:spacing w:after="0"/>
        <w:rPr>
          <w:sz w:val="20"/>
          <w:szCs w:val="20"/>
          <w:color w:val="auto"/>
        </w:rPr>
      </w:pPr>
      <w:r>
        <w:rPr>
          <w:rFonts w:ascii="Arial" w:cs="Arial" w:eastAsia="Arial" w:hAnsi="Arial"/>
          <w:sz w:val="14"/>
          <w:szCs w:val="14"/>
          <w:b w:val="1"/>
          <w:bCs w:val="1"/>
          <w:color w:val="auto"/>
        </w:rPr>
        <w:t>Amounts as of</w:t>
      </w:r>
    </w:p>
    <w:p>
      <w:pPr>
        <w:spacing w:after="0" w:line="4" w:lineRule="exact"/>
        <w:rPr>
          <w:sz w:val="20"/>
          <w:szCs w:val="20"/>
          <w:color w:val="auto"/>
        </w:rPr>
      </w:pPr>
    </w:p>
    <w:p>
      <w:pPr>
        <w:jc w:val="center"/>
        <w:ind w:right="1860"/>
        <w:spacing w:after="0"/>
        <w:rPr>
          <w:sz w:val="20"/>
          <w:szCs w:val="20"/>
          <w:color w:val="auto"/>
        </w:rPr>
      </w:pPr>
      <w:r>
        <w:rPr>
          <w:rFonts w:ascii="Arial" w:cs="Arial" w:eastAsia="Arial" w:hAnsi="Arial"/>
          <w:sz w:val="13"/>
          <w:szCs w:val="13"/>
          <w:b w:val="1"/>
          <w:bCs w:val="1"/>
          <w:u w:val="single" w:color="auto"/>
          <w:color w:val="auto"/>
        </w:rPr>
        <w:t>Acquisition Date</w:t>
      </w:r>
    </w:p>
    <w:p>
      <w:pPr>
        <w:spacing w:after="0" w:line="21" w:lineRule="exact"/>
        <w:rPr>
          <w:sz w:val="20"/>
          <w:szCs w:val="20"/>
          <w:color w:val="auto"/>
        </w:rPr>
      </w:pPr>
    </w:p>
    <w:p>
      <w:pPr>
        <w:ind w:left="500" w:hanging="493"/>
        <w:spacing w:after="0"/>
        <w:tabs>
          <w:tab w:leader="none" w:pos="500" w:val="left"/>
        </w:tabs>
        <w:numPr>
          <w:ilvl w:val="0"/>
          <w:numId w:val="21"/>
        </w:numPr>
        <w:rPr>
          <w:rFonts w:ascii="Arial" w:cs="Arial" w:eastAsia="Arial" w:hAnsi="Arial"/>
          <w:sz w:val="16"/>
          <w:szCs w:val="16"/>
          <w:color w:val="auto"/>
        </w:rPr>
      </w:pPr>
      <w:r>
        <w:rPr>
          <w:rFonts w:ascii="Arial" w:cs="Arial" w:eastAsia="Arial" w:hAnsi="Arial"/>
          <w:sz w:val="16"/>
          <w:szCs w:val="16"/>
          <w:color w:val="auto"/>
        </w:rPr>
        <w:t>(81,631)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19685</wp:posOffset>
            </wp:positionV>
            <wp:extent cx="660400" cy="889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660400" cy="8890"/>
                    </a:xfrm>
                    <a:prstGeom prst="rect">
                      <a:avLst/>
                    </a:prstGeom>
                    <a:noFill/>
                  </pic:spPr>
                </pic:pic>
              </a:graphicData>
            </a:graphic>
          </wp:anchor>
        </w:drawing>
        <w:drawing>
          <wp:anchor simplePos="0" relativeHeight="251657728" behindDoc="1" locked="0" layoutInCell="0" allowOverlap="1">
            <wp:simplePos x="0" y="0"/>
            <wp:positionH relativeFrom="column">
              <wp:posOffset>8890</wp:posOffset>
            </wp:positionH>
            <wp:positionV relativeFrom="paragraph">
              <wp:posOffset>36830</wp:posOffset>
            </wp:positionV>
            <wp:extent cx="660400" cy="889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660400" cy="8890"/>
                    </a:xfrm>
                    <a:prstGeom prst="rect">
                      <a:avLst/>
                    </a:prstGeom>
                    <a:noFill/>
                  </pic:spPr>
                </pic:pic>
              </a:graphicData>
            </a:graphic>
          </wp:anchor>
        </w:drawing>
      </w:r>
    </w:p>
    <w:p>
      <w:pPr>
        <w:spacing w:after="0" w:line="50" w:lineRule="exact"/>
        <w:rPr>
          <w:sz w:val="20"/>
          <w:szCs w:val="20"/>
          <w:color w:val="auto"/>
        </w:rPr>
      </w:pPr>
    </w:p>
    <w:p>
      <w:pPr>
        <w:ind w:left="800" w:hanging="793"/>
        <w:spacing w:after="0"/>
        <w:tabs>
          <w:tab w:leader="none" w:pos="800" w:val="left"/>
        </w:tabs>
        <w:numPr>
          <w:ilvl w:val="0"/>
          <w:numId w:val="22"/>
        </w:numPr>
        <w:rPr>
          <w:rFonts w:ascii="Arial" w:cs="Arial" w:eastAsia="Arial" w:hAnsi="Arial"/>
          <w:sz w:val="16"/>
          <w:szCs w:val="16"/>
          <w:color w:val="auto"/>
        </w:rPr>
      </w:pPr>
      <w:r>
        <w:rPr>
          <w:rFonts w:ascii="Arial" w:cs="Arial" w:eastAsia="Arial" w:hAnsi="Arial"/>
          <w:sz w:val="16"/>
          <w:szCs w:val="16"/>
          <w:color w:val="auto"/>
        </w:rPr>
        <w:t>(31)</w:t>
      </w:r>
    </w:p>
    <w:p>
      <w:pPr>
        <w:spacing w:after="0" w:line="46" w:lineRule="exact"/>
        <w:rPr>
          <w:rFonts w:ascii="Arial" w:cs="Arial" w:eastAsia="Arial" w:hAnsi="Arial"/>
          <w:sz w:val="16"/>
          <w:szCs w:val="16"/>
          <w:color w:val="auto"/>
        </w:rPr>
      </w:pPr>
    </w:p>
    <w:p>
      <w:pPr>
        <w:ind w:left="560"/>
        <w:spacing w:after="0"/>
        <w:rPr>
          <w:rFonts w:ascii="Arial" w:cs="Arial" w:eastAsia="Arial" w:hAnsi="Arial"/>
          <w:sz w:val="16"/>
          <w:szCs w:val="16"/>
          <w:color w:val="auto"/>
        </w:rPr>
      </w:pPr>
      <w:r>
        <w:rPr>
          <w:rFonts w:ascii="Arial" w:cs="Arial" w:eastAsia="Arial" w:hAnsi="Arial"/>
          <w:sz w:val="17"/>
          <w:szCs w:val="17"/>
          <w:color w:val="auto"/>
        </w:rPr>
        <w:t>95,324</w:t>
      </w:r>
    </w:p>
    <w:p>
      <w:pPr>
        <w:spacing w:after="0" w:line="20" w:lineRule="exact"/>
        <w:rPr>
          <w:rFonts w:ascii="Arial" w:cs="Arial" w:eastAsia="Arial" w:hAnsi="Arial"/>
          <w:sz w:val="16"/>
          <w:szCs w:val="16"/>
          <w:color w:val="auto"/>
        </w:rPr>
      </w:pPr>
    </w:p>
    <w:p>
      <w:pPr>
        <w:ind w:left="720"/>
        <w:spacing w:after="0"/>
        <w:rPr>
          <w:rFonts w:ascii="Arial" w:cs="Arial" w:eastAsia="Arial" w:hAnsi="Arial"/>
          <w:sz w:val="16"/>
          <w:szCs w:val="16"/>
          <w:color w:val="auto"/>
        </w:rPr>
      </w:pPr>
      <w:r>
        <w:rPr>
          <w:rFonts w:ascii="Arial" w:cs="Arial" w:eastAsia="Arial" w:hAnsi="Arial"/>
          <w:sz w:val="16"/>
          <w:szCs w:val="16"/>
          <w:color w:val="auto"/>
        </w:rPr>
        <w:t>(112)</w:t>
      </w:r>
    </w:p>
    <w:p>
      <w:pPr>
        <w:spacing w:after="0" w:line="32" w:lineRule="exact"/>
        <w:rPr>
          <w:rFonts w:ascii="Arial" w:cs="Arial" w:eastAsia="Arial" w:hAnsi="Arial"/>
          <w:sz w:val="16"/>
          <w:szCs w:val="16"/>
          <w:color w:val="auto"/>
        </w:rPr>
      </w:pPr>
    </w:p>
    <w:p>
      <w:pPr>
        <w:ind w:left="580"/>
        <w:spacing w:after="0"/>
        <w:rPr>
          <w:rFonts w:ascii="Arial" w:cs="Arial" w:eastAsia="Arial" w:hAnsi="Arial"/>
          <w:sz w:val="16"/>
          <w:szCs w:val="16"/>
          <w:color w:val="auto"/>
        </w:rPr>
      </w:pPr>
      <w:r>
        <w:rPr>
          <w:rFonts w:ascii="Arial" w:cs="Arial" w:eastAsia="Arial" w:hAnsi="Arial"/>
          <w:sz w:val="16"/>
          <w:szCs w:val="16"/>
          <w:color w:val="auto"/>
        </w:rPr>
        <w:t>(1,625)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20320</wp:posOffset>
            </wp:positionV>
            <wp:extent cx="660400" cy="889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660400" cy="8890"/>
                    </a:xfrm>
                    <a:prstGeom prst="rect">
                      <a:avLst/>
                    </a:prstGeom>
                    <a:noFill/>
                  </pic:spPr>
                </pic:pic>
              </a:graphicData>
            </a:graphic>
          </wp:anchor>
        </w:drawing>
      </w:r>
    </w:p>
    <w:p>
      <w:pPr>
        <w:spacing w:after="0" w:line="21" w:lineRule="exact"/>
        <w:rPr>
          <w:sz w:val="20"/>
          <w:szCs w:val="20"/>
          <w:color w:val="auto"/>
        </w:rPr>
      </w:pPr>
    </w:p>
    <w:p>
      <w:pPr>
        <w:ind w:left="560" w:hanging="553"/>
        <w:spacing w:after="0"/>
        <w:tabs>
          <w:tab w:leader="none" w:pos="560" w:val="left"/>
        </w:tabs>
        <w:numPr>
          <w:ilvl w:val="0"/>
          <w:numId w:val="23"/>
        </w:numPr>
        <w:rPr>
          <w:rFonts w:ascii="Arial" w:cs="Arial" w:eastAsia="Arial" w:hAnsi="Arial"/>
          <w:sz w:val="17"/>
          <w:szCs w:val="17"/>
          <w:b w:val="1"/>
          <w:bCs w:val="1"/>
          <w:color w:val="auto"/>
        </w:rPr>
      </w:pPr>
      <w:r>
        <w:rPr>
          <w:rFonts w:ascii="Arial" w:cs="Arial" w:eastAsia="Arial" w:hAnsi="Arial"/>
          <w:sz w:val="17"/>
          <w:szCs w:val="17"/>
          <w:b w:val="1"/>
          <w:bCs w:val="1"/>
          <w:color w:val="auto"/>
        </w:rPr>
        <w:t>93,556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24765</wp:posOffset>
            </wp:positionV>
            <wp:extent cx="660400" cy="889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660400" cy="8890"/>
                    </a:xfrm>
                    <a:prstGeom prst="rect">
                      <a:avLst/>
                    </a:prstGeom>
                    <a:noFill/>
                  </pic:spPr>
                </pic:pic>
              </a:graphicData>
            </a:graphic>
          </wp:anchor>
        </w:drawing>
        <w:drawing>
          <wp:anchor simplePos="0" relativeHeight="251657728" behindDoc="1" locked="0" layoutInCell="0" allowOverlap="1">
            <wp:simplePos x="0" y="0"/>
            <wp:positionH relativeFrom="column">
              <wp:posOffset>8890</wp:posOffset>
            </wp:positionH>
            <wp:positionV relativeFrom="paragraph">
              <wp:posOffset>41910</wp:posOffset>
            </wp:positionV>
            <wp:extent cx="660400" cy="889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660400" cy="8890"/>
                    </a:xfrm>
                    <a:prstGeom prst="rect">
                      <a:avLst/>
                    </a:prstGeom>
                    <a:noFill/>
                  </pic:spPr>
                </pic:pic>
              </a:graphicData>
            </a:graphic>
          </wp:anchor>
        </w:drawing>
      </w:r>
    </w:p>
    <w:p>
      <w:pPr>
        <w:spacing w:after="0" w:line="211" w:lineRule="exact"/>
        <w:rPr>
          <w:sz w:val="20"/>
          <w:szCs w:val="20"/>
          <w:color w:val="auto"/>
        </w:rPr>
      </w:pPr>
    </w:p>
    <w:p>
      <w:pPr>
        <w:sectPr>
          <w:pgSz w:w="11900" w:h="16838" w:orient="portrait"/>
          <w:cols w:equalWidth="0" w:num="2">
            <w:col w:w="7380" w:space="720"/>
            <w:col w:w="2900"/>
          </w:cols>
          <w:pgMar w:left="440" w:top="270" w:right="459" w:bottom="1440" w:gutter="0" w:footer="0" w:header="0"/>
          <w:type w:val="continuous"/>
        </w:sectPr>
      </w:pPr>
    </w:p>
    <w:p>
      <w:pPr>
        <w:spacing w:after="0" w:line="110" w:lineRule="exact"/>
        <w:rPr>
          <w:sz w:val="20"/>
          <w:szCs w:val="20"/>
          <w:color w:val="auto"/>
        </w:rPr>
      </w:pPr>
    </w:p>
    <w:p>
      <w:pPr>
        <w:ind w:left="440" w:right="180" w:hanging="436"/>
        <w:spacing w:after="0" w:line="277" w:lineRule="auto"/>
        <w:tabs>
          <w:tab w:leader="none" w:pos="440" w:val="left"/>
        </w:tabs>
        <w:numPr>
          <w:ilvl w:val="0"/>
          <w:numId w:val="24"/>
        </w:numPr>
        <w:rPr>
          <w:rFonts w:ascii="Arial" w:cs="Arial" w:eastAsia="Arial" w:hAnsi="Arial"/>
          <w:sz w:val="18"/>
          <w:szCs w:val="18"/>
          <w:color w:val="auto"/>
        </w:rPr>
      </w:pPr>
      <w:r>
        <w:rPr>
          <w:rFonts w:ascii="Arial" w:cs="Arial" w:eastAsia="Arial" w:hAnsi="Arial"/>
          <w:sz w:val="18"/>
          <w:szCs w:val="18"/>
          <w:color w:val="auto"/>
        </w:rPr>
        <w:t>Represents $1.6 million of transaction-related costs not yet incurred or recognized as of the pro forma balance sheet date of December 31, 2018. Refer to Note 2.</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J—Income taxes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For U.S. federal tax purposes, the transaction is structured as stock acquisition of the operations of Sirius.</w:t>
      </w:r>
    </w:p>
    <w:p>
      <w:pPr>
        <w:spacing w:after="0" w:line="225" w:lineRule="exact"/>
        <w:rPr>
          <w:sz w:val="20"/>
          <w:szCs w:val="20"/>
          <w:color w:val="auto"/>
        </w:rPr>
      </w:pPr>
    </w:p>
    <w:p>
      <w:pPr>
        <w:ind w:right="220"/>
        <w:spacing w:after="0" w:line="255" w:lineRule="auto"/>
        <w:rPr>
          <w:sz w:val="20"/>
          <w:szCs w:val="20"/>
          <w:color w:val="auto"/>
        </w:rPr>
      </w:pPr>
      <w:r>
        <w:rPr>
          <w:rFonts w:ascii="Arial" w:cs="Arial" w:eastAsia="Arial" w:hAnsi="Arial"/>
          <w:sz w:val="18"/>
          <w:szCs w:val="18"/>
          <w:color w:val="auto"/>
        </w:rPr>
        <w:t>The estimate of deferred taxes was determined based on the changes in the book basis reflected in Sirius’ historical financial statements. A weighted average combined statutory rate of 28% was applied to the step-up in fair value of Sirius’ assets and liabilities, resulting in an increase to the deferred tax liability of $33.6 million. A preliminary realization assessment of the acquired deferred tax assets resulted in a release of valuation allowances on certain U.S. deferred tax assets. As a result an increase in deferred tax assets in the amount of $9.7 million was also recorded and netted against the deferred tax liability. The estimate of deferred income tax is preliminary and is subject to change based on the Company’s final determination of the assets acquired and liabilities assumed.</w:t>
      </w:r>
    </w:p>
    <w:p>
      <w:pPr>
        <w:spacing w:after="0" w:line="29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7: Unaudited Pro Forma Combined Statement of Operations Adjustments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The following represents an explanation of the various adjustments to the unaudited pro forma combined statement of operations.</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A—Depreciation of fixed assets and amortization of other intangibles</w:t>
      </w:r>
    </w:p>
    <w:p>
      <w:pPr>
        <w:spacing w:after="0" w:line="121"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In conjunction with the acquisition accounting, the Company performed a fair value assessment of the property and equipment and definite-lived intangible assets. These valuations generated estimated depreciation and amortization expense related to the pro forma valuation adjustments to property and equipment (see Note 6B) and intangible assets (see Note 6D). Pro forma depreciation and amortization have been estimated on a preliminary basis as follows (amounts in thousands):</w:t>
      </w:r>
    </w:p>
    <w:p>
      <w:pPr>
        <w:spacing w:after="0" w:line="193" w:lineRule="exact"/>
        <w:rPr>
          <w:sz w:val="20"/>
          <w:szCs w:val="20"/>
          <w:color w:val="auto"/>
        </w:rPr>
      </w:pPr>
    </w:p>
    <w:tbl>
      <w:tblPr>
        <w:tblLayout w:type="fixed"/>
        <w:tblInd w:w="178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340" w:type="dxa"/>
            <w:vAlign w:val="bottom"/>
          </w:tcPr>
          <w:p>
            <w:pPr>
              <w:spacing w:after="0"/>
              <w:rPr>
                <w:sz w:val="14"/>
                <w:szCs w:val="14"/>
                <w:color w:val="auto"/>
              </w:rPr>
            </w:pPr>
          </w:p>
        </w:tc>
        <w:tc>
          <w:tcPr>
            <w:tcW w:w="2120" w:type="dxa"/>
            <w:vAlign w:val="bottom"/>
            <w:gridSpan w:val="4"/>
          </w:tcPr>
          <w:p>
            <w:pPr>
              <w:ind w:left="620"/>
              <w:spacing w:after="0"/>
              <w:rPr>
                <w:sz w:val="20"/>
                <w:szCs w:val="20"/>
                <w:color w:val="auto"/>
              </w:rPr>
            </w:pPr>
            <w:r>
              <w:rPr>
                <w:rFonts w:ascii="Arial" w:cs="Arial" w:eastAsia="Arial" w:hAnsi="Arial"/>
                <w:sz w:val="14"/>
                <w:szCs w:val="14"/>
                <w:b w:val="1"/>
                <w:bCs w:val="1"/>
                <w:color w:val="auto"/>
                <w:w w:val="99"/>
              </w:rPr>
              <w:t>Year Ended December</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5340" w:type="dxa"/>
            <w:vAlign w:val="bottom"/>
            <w:tcBorders>
              <w:bottom w:val="single" w:sz="8" w:color="CCEEFF"/>
            </w:tcBorders>
          </w:tcPr>
          <w:p>
            <w:pPr>
              <w:spacing w:after="0"/>
              <w:rPr>
                <w:sz w:val="14"/>
                <w:szCs w:val="14"/>
                <w:color w:val="auto"/>
              </w:rPr>
            </w:pPr>
          </w:p>
        </w:tc>
        <w:tc>
          <w:tcPr>
            <w:tcW w:w="620" w:type="dxa"/>
            <w:vAlign w:val="bottom"/>
            <w:tcBorders>
              <w:bottom w:val="single" w:sz="8" w:color="CCEEFF"/>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140" w:type="dxa"/>
            <w:vAlign w:val="bottom"/>
            <w:tcBorders>
              <w:bottom w:val="single" w:sz="8" w:color="auto"/>
            </w:tcBorders>
          </w:tcPr>
          <w:p>
            <w:pPr>
              <w:jc w:val="right"/>
              <w:ind w:right="372"/>
              <w:spacing w:after="0"/>
              <w:rPr>
                <w:sz w:val="20"/>
                <w:szCs w:val="20"/>
                <w:color w:val="auto"/>
              </w:rPr>
            </w:pPr>
            <w:r>
              <w:rPr>
                <w:rFonts w:ascii="Arial" w:cs="Arial" w:eastAsia="Arial" w:hAnsi="Arial"/>
                <w:sz w:val="14"/>
                <w:szCs w:val="14"/>
                <w:b w:val="1"/>
                <w:bCs w:val="1"/>
                <w:color w:val="auto"/>
              </w:rPr>
              <w:t>31, 2018</w:t>
            </w:r>
          </w:p>
        </w:tc>
        <w:tc>
          <w:tcPr>
            <w:tcW w:w="10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5340" w:type="dxa"/>
            <w:vAlign w:val="bottom"/>
            <w:shd w:val="clear" w:color="auto" w:fill="CCEEFF"/>
          </w:tcPr>
          <w:p>
            <w:pPr>
              <w:spacing w:after="0" w:line="182" w:lineRule="exact"/>
              <w:rPr>
                <w:sz w:val="20"/>
                <w:szCs w:val="20"/>
                <w:color w:val="auto"/>
              </w:rPr>
            </w:pPr>
            <w:r>
              <w:rPr>
                <w:rFonts w:ascii="Arial" w:cs="Arial" w:eastAsia="Arial" w:hAnsi="Arial"/>
                <w:sz w:val="18"/>
                <w:szCs w:val="18"/>
                <w:color w:val="auto"/>
              </w:rPr>
              <w:t>Estimated depreciation expense for acquired property and</w:t>
            </w:r>
          </w:p>
        </w:tc>
        <w:tc>
          <w:tcPr>
            <w:tcW w:w="62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11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53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equipment</w:t>
            </w:r>
          </w:p>
        </w:tc>
        <w:tc>
          <w:tcPr>
            <w:tcW w:w="880" w:type="dxa"/>
            <w:vAlign w:val="bottom"/>
            <w:gridSpan w:val="2"/>
            <w:shd w:val="clear" w:color="auto" w:fill="CCEEFF"/>
          </w:tcPr>
          <w:p>
            <w:pPr>
              <w:ind w:left="620"/>
              <w:spacing w:after="0"/>
              <w:rPr>
                <w:sz w:val="20"/>
                <w:szCs w:val="20"/>
                <w:color w:val="auto"/>
              </w:rPr>
            </w:pPr>
            <w:r>
              <w:rPr>
                <w:rFonts w:ascii="Arial" w:cs="Arial" w:eastAsia="Arial" w:hAnsi="Arial"/>
                <w:sz w:val="18"/>
                <w:szCs w:val="18"/>
                <w:color w:val="auto"/>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796</w:t>
            </w:r>
          </w:p>
        </w:tc>
        <w:tc>
          <w:tcPr>
            <w:tcW w:w="1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40" w:type="dxa"/>
            <w:vAlign w:val="bottom"/>
          </w:tcPr>
          <w:p>
            <w:pPr>
              <w:spacing w:after="0"/>
              <w:rPr>
                <w:sz w:val="20"/>
                <w:szCs w:val="20"/>
                <w:color w:val="auto"/>
              </w:rPr>
            </w:pPr>
            <w:r>
              <w:rPr>
                <w:rFonts w:ascii="Arial" w:cs="Arial" w:eastAsia="Arial" w:hAnsi="Arial"/>
                <w:sz w:val="18"/>
                <w:szCs w:val="18"/>
                <w:color w:val="auto"/>
              </w:rPr>
              <w:t>Less: Historical Sirius depreciation expense</w:t>
            </w:r>
          </w:p>
        </w:tc>
        <w:tc>
          <w:tcPr>
            <w:tcW w:w="6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40" w:type="dxa"/>
            <w:vAlign w:val="bottom"/>
            <w:gridSpan w:val="2"/>
          </w:tcPr>
          <w:p>
            <w:pPr>
              <w:jc w:val="right"/>
              <w:ind w:right="60"/>
              <w:spacing w:after="0"/>
              <w:rPr>
                <w:sz w:val="20"/>
                <w:szCs w:val="20"/>
                <w:color w:val="auto"/>
              </w:rPr>
            </w:pPr>
            <w:r>
              <w:rPr>
                <w:rFonts w:ascii="Arial" w:cs="Arial" w:eastAsia="Arial" w:hAnsi="Arial"/>
                <w:sz w:val="18"/>
                <w:szCs w:val="18"/>
                <w:color w:val="auto"/>
              </w:rPr>
              <w:t>(736)</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5340" w:type="dxa"/>
            <w:vAlign w:val="bottom"/>
          </w:tcPr>
          <w:p>
            <w:pPr>
              <w:spacing w:after="0"/>
              <w:rPr>
                <w:sz w:val="2"/>
                <w:szCs w:val="2"/>
                <w:color w:val="auto"/>
              </w:rPr>
            </w:pPr>
          </w:p>
        </w:tc>
        <w:tc>
          <w:tcPr>
            <w:tcW w:w="620" w:type="dxa"/>
            <w:vAlign w:val="bottom"/>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11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53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Total pro forma adjustment to depreciation expense</w:t>
            </w:r>
          </w:p>
        </w:tc>
        <w:tc>
          <w:tcPr>
            <w:tcW w:w="880" w:type="dxa"/>
            <w:vAlign w:val="bottom"/>
            <w:gridSpan w:val="2"/>
            <w:shd w:val="clear" w:color="auto" w:fill="CCEEFF"/>
          </w:tcPr>
          <w:p>
            <w:pPr>
              <w:ind w:left="620"/>
              <w:spacing w:after="0"/>
              <w:rPr>
                <w:sz w:val="20"/>
                <w:szCs w:val="20"/>
                <w:color w:val="auto"/>
              </w:rPr>
            </w:pPr>
            <w:r>
              <w:rPr>
                <w:rFonts w:ascii="Arial" w:cs="Arial" w:eastAsia="Arial" w:hAnsi="Arial"/>
                <w:sz w:val="18"/>
                <w:szCs w:val="18"/>
                <w:b w:val="1"/>
                <w:bCs w:val="1"/>
                <w:color w:val="auto"/>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60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5360" w:type="dxa"/>
            <w:vAlign w:val="bottom"/>
            <w:gridSpan w:val="2"/>
          </w:tcPr>
          <w:p>
            <w:pPr>
              <w:spacing w:after="0"/>
              <w:rPr>
                <w:sz w:val="20"/>
                <w:szCs w:val="20"/>
                <w:color w:val="auto"/>
              </w:rPr>
            </w:pPr>
            <w:r>
              <w:rPr>
                <w:rFonts w:ascii="Arial" w:cs="Arial" w:eastAsia="Arial" w:hAnsi="Arial"/>
                <w:sz w:val="18"/>
                <w:szCs w:val="18"/>
                <w:color w:val="auto"/>
              </w:rPr>
              <w:t>Estimated amortization expense for acquired definite-lived</w:t>
            </w:r>
          </w:p>
        </w:tc>
        <w:tc>
          <w:tcPr>
            <w:tcW w:w="620" w:type="dxa"/>
            <w:vAlign w:val="bottom"/>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114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5340" w:type="dxa"/>
            <w:vAlign w:val="bottom"/>
          </w:tcPr>
          <w:p>
            <w:pPr>
              <w:ind w:left="160"/>
              <w:spacing w:after="0"/>
              <w:rPr>
                <w:sz w:val="20"/>
                <w:szCs w:val="20"/>
                <w:color w:val="auto"/>
              </w:rPr>
            </w:pPr>
            <w:r>
              <w:rPr>
                <w:rFonts w:ascii="Arial" w:cs="Arial" w:eastAsia="Arial" w:hAnsi="Arial"/>
                <w:sz w:val="18"/>
                <w:szCs w:val="18"/>
                <w:color w:val="auto"/>
              </w:rPr>
              <w:t>intangibles assets</w:t>
            </w:r>
          </w:p>
        </w:tc>
        <w:tc>
          <w:tcPr>
            <w:tcW w:w="880" w:type="dxa"/>
            <w:vAlign w:val="bottom"/>
            <w:gridSpan w:val="2"/>
          </w:tcPr>
          <w:p>
            <w:pPr>
              <w:ind w:left="620"/>
              <w:spacing w:after="0"/>
              <w:rPr>
                <w:sz w:val="20"/>
                <w:szCs w:val="20"/>
                <w:color w:val="auto"/>
              </w:rPr>
            </w:pPr>
            <w:r>
              <w:rPr>
                <w:rFonts w:ascii="Arial" w:cs="Arial" w:eastAsia="Arial" w:hAnsi="Arial"/>
                <w:sz w:val="18"/>
                <w:szCs w:val="18"/>
                <w:color w:val="auto"/>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18,869</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40" w:type="dxa"/>
            <w:vAlign w:val="bottom"/>
            <w:shd w:val="clear" w:color="auto" w:fill="CCEEFF"/>
          </w:tcPr>
          <w:p>
            <w:pPr>
              <w:spacing w:after="0"/>
              <w:rPr>
                <w:sz w:val="20"/>
                <w:szCs w:val="20"/>
                <w:color w:val="auto"/>
              </w:rPr>
            </w:pPr>
            <w:r>
              <w:rPr>
                <w:rFonts w:ascii="Arial" w:cs="Arial" w:eastAsia="Arial" w:hAnsi="Arial"/>
                <w:sz w:val="18"/>
                <w:szCs w:val="18"/>
                <w:color w:val="auto"/>
              </w:rPr>
              <w:t>Less: Historical Sirius amortization expense</w:t>
            </w:r>
          </w:p>
        </w:tc>
        <w:tc>
          <w:tcPr>
            <w:tcW w:w="6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(1,169)</w:t>
            </w:r>
          </w:p>
        </w:tc>
        <w:tc>
          <w:tcPr>
            <w:tcW w:w="0" w:type="dxa"/>
            <w:vAlign w:val="bottom"/>
          </w:tcPr>
          <w:p>
            <w:pPr>
              <w:spacing w:after="0"/>
              <w:rPr>
                <w:sz w:val="1"/>
                <w:szCs w:val="1"/>
                <w:color w:val="auto"/>
              </w:rPr>
            </w:pPr>
          </w:p>
        </w:tc>
      </w:tr>
      <w:tr>
        <w:trPr>
          <w:trHeight w:val="223"/>
        </w:trPr>
        <w:tc>
          <w:tcPr>
            <w:tcW w:w="5360" w:type="dxa"/>
            <w:vAlign w:val="bottom"/>
            <w:gridSpan w:val="2"/>
          </w:tcPr>
          <w:p>
            <w:pPr>
              <w:spacing w:after="0"/>
              <w:rPr>
                <w:sz w:val="20"/>
                <w:szCs w:val="20"/>
                <w:color w:val="auto"/>
              </w:rPr>
            </w:pPr>
            <w:r>
              <w:rPr>
                <w:rFonts w:ascii="Arial" w:cs="Arial" w:eastAsia="Arial" w:hAnsi="Arial"/>
                <w:sz w:val="18"/>
                <w:szCs w:val="18"/>
                <w:b w:val="1"/>
                <w:bCs w:val="1"/>
                <w:color w:val="auto"/>
              </w:rPr>
              <w:t>Total pro forma adjustment to amortization expense</w:t>
            </w:r>
          </w:p>
        </w:tc>
        <w:tc>
          <w:tcPr>
            <w:tcW w:w="620" w:type="dxa"/>
            <w:vAlign w:val="bottom"/>
          </w:tcPr>
          <w:p>
            <w:pPr>
              <w:spacing w:after="0"/>
              <w:rPr>
                <w:sz w:val="19"/>
                <w:szCs w:val="19"/>
                <w:color w:val="auto"/>
              </w:rPr>
            </w:pPr>
          </w:p>
        </w:tc>
        <w:tc>
          <w:tcPr>
            <w:tcW w:w="26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b w:val="1"/>
                <w:bCs w:val="1"/>
                <w:color w:val="auto"/>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17,700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3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53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Estimated amortization for unfavorable leasehold interests (a)</w:t>
            </w:r>
          </w:p>
        </w:tc>
        <w:tc>
          <w:tcPr>
            <w:tcW w:w="880" w:type="dxa"/>
            <w:vAlign w:val="bottom"/>
            <w:gridSpan w:val="2"/>
            <w:shd w:val="clear" w:color="auto" w:fill="CCEEFF"/>
          </w:tcPr>
          <w:p>
            <w:pPr>
              <w:ind w:left="620"/>
              <w:spacing w:after="0"/>
              <w:rPr>
                <w:sz w:val="20"/>
                <w:szCs w:val="20"/>
                <w:color w:val="auto"/>
              </w:rPr>
            </w:pPr>
            <w:r>
              <w:rPr>
                <w:rFonts w:ascii="Arial" w:cs="Arial" w:eastAsia="Arial" w:hAnsi="Arial"/>
                <w:sz w:val="18"/>
                <w:szCs w:val="18"/>
                <w:b w:val="1"/>
                <w:bCs w:val="1"/>
                <w:color w:val="auto"/>
              </w:rPr>
              <w:t>$</w:t>
            </w:r>
          </w:p>
        </w:tc>
        <w:tc>
          <w:tcPr>
            <w:tcW w:w="12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b w:val="1"/>
                <w:bCs w:val="1"/>
                <w:color w:val="auto"/>
              </w:rPr>
              <w:t>(400)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3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2" w:lineRule="exact"/>
        <w:rPr>
          <w:sz w:val="20"/>
          <w:szCs w:val="20"/>
          <w:color w:val="auto"/>
        </w:rPr>
      </w:pPr>
    </w:p>
    <w:p>
      <w:pPr>
        <w:ind w:left="440" w:right="100" w:hanging="436"/>
        <w:spacing w:after="0" w:line="277" w:lineRule="auto"/>
        <w:tabs>
          <w:tab w:leader="none" w:pos="440" w:val="left"/>
        </w:tabs>
        <w:numPr>
          <w:ilvl w:val="0"/>
          <w:numId w:val="25"/>
        </w:numPr>
        <w:rPr>
          <w:rFonts w:ascii="Arial" w:cs="Arial" w:eastAsia="Arial" w:hAnsi="Arial"/>
          <w:sz w:val="18"/>
          <w:szCs w:val="18"/>
          <w:color w:val="auto"/>
        </w:rPr>
      </w:pPr>
      <w:r>
        <w:rPr>
          <w:rFonts w:ascii="Arial" w:cs="Arial" w:eastAsia="Arial" w:hAnsi="Arial"/>
          <w:sz w:val="18"/>
          <w:szCs w:val="18"/>
          <w:color w:val="auto"/>
        </w:rPr>
        <w:t>Recorded as a decrease in expense in the line items “Cost of services and fulfillment”, “Selling and marketing” and “General and administrative” in the amounts of $120 thousand, $220 thousand and $60 thousand, respectively.</w:t>
      </w:r>
    </w:p>
    <w:p>
      <w:pPr>
        <w:spacing w:after="0" w:line="10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000"/>
          </w:cols>
          <w:pgMar w:left="440" w:top="270" w:right="459" w:bottom="1440" w:gutter="0" w:footer="0" w:header="0"/>
          <w:type w:val="continuous"/>
        </w:sectPr>
      </w:pPr>
    </w:p>
    <w:bookmarkStart w:id="45" w:name="page46"/>
    <w:bookmarkEnd w:id="45"/>
    <w:p>
      <w:pPr>
        <w:ind w:right="200"/>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All property and equipment and definite-lived intangibles assets and liabilities are depreciated and amortized, respectively, using the weighted average useful lives.</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B—Interest expense</w:t>
      </w:r>
    </w:p>
    <w:p>
      <w:pPr>
        <w:spacing w:after="0" w:line="121" w:lineRule="exact"/>
        <w:rPr>
          <w:sz w:val="20"/>
          <w:szCs w:val="20"/>
          <w:color w:val="auto"/>
        </w:rPr>
      </w:pPr>
    </w:p>
    <w:p>
      <w:pPr>
        <w:ind w:right="60"/>
        <w:spacing w:after="0" w:line="308" w:lineRule="auto"/>
        <w:rPr>
          <w:sz w:val="20"/>
          <w:szCs w:val="20"/>
          <w:color w:val="auto"/>
        </w:rPr>
      </w:pPr>
      <w:r>
        <w:rPr>
          <w:rFonts w:ascii="Arial" w:cs="Arial" w:eastAsia="Arial" w:hAnsi="Arial"/>
          <w:sz w:val="17"/>
          <w:szCs w:val="17"/>
          <w:color w:val="auto"/>
        </w:rPr>
        <w:t>Represents the net increase to interest expense in the amount of $10.1 million resulting from interest on the new debt to finance the acquisition of Sirius, the amortization of related debt issuance costs and the commitment fee on the unused portion of the Revolving Credit Facility.</w:t>
      </w:r>
    </w:p>
    <w:p>
      <w:pPr>
        <w:spacing w:after="0" w:line="147" w:lineRule="exact"/>
        <w:rPr>
          <w:sz w:val="20"/>
          <w:szCs w:val="20"/>
          <w:color w:val="auto"/>
        </w:rPr>
      </w:pPr>
    </w:p>
    <w:p>
      <w:pPr>
        <w:ind w:right="40"/>
        <w:spacing w:after="0" w:line="293" w:lineRule="auto"/>
        <w:rPr>
          <w:sz w:val="20"/>
          <w:szCs w:val="20"/>
          <w:color w:val="auto"/>
        </w:rPr>
      </w:pPr>
      <w:r>
        <w:rPr>
          <w:rFonts w:ascii="Arial" w:cs="Arial" w:eastAsia="Arial" w:hAnsi="Arial"/>
          <w:sz w:val="16"/>
          <w:szCs w:val="16"/>
          <w:color w:val="auto"/>
        </w:rPr>
        <w:t>The adjustment to recognize interest expense of $7.2 million related to the Term Loan and $2.9 million related to the Revolving Credit Facility, of which $85 thousand related to a commitment fee on the unused portion of the Revolving Credit Facility, assumes the amounts were borrowed on January 1, 2018 and were outstanding for the entire twelve months ended December 31, 2018. The interest rates assumed for purposes of preparing this pro forma financial information are 5.3% for the Term Loan and 5.1% for the Revolving Credit Facility based on the rates applicable on January 3, 2019. In addition, the unused portion of the Revolving Credit Facility is subject to a commitment fee at a rate of between 0.25% to 0.35% per annum, based on Forrester’s consolidated total leverage ratio. For the purposes of these pro forma financial statements, 0.35% was used.</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tables show the estimated interest expense, interest rates and terms of the Credit Facilities (amounts in thousands):</w:t>
      </w:r>
    </w:p>
    <w:p>
      <w:pPr>
        <w:spacing w:after="0" w:line="23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3400" w:type="dxa"/>
            <w:vAlign w:val="bottom"/>
          </w:tcPr>
          <w:p>
            <w:pPr>
              <w:spacing w:after="0"/>
              <w:rPr>
                <w:sz w:val="14"/>
                <w:szCs w:val="14"/>
                <w:color w:val="auto"/>
              </w:rPr>
            </w:pPr>
          </w:p>
        </w:tc>
        <w:tc>
          <w:tcPr>
            <w:tcW w:w="20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240" w:type="dxa"/>
            <w:vAlign w:val="bottom"/>
            <w:gridSpan w:val="3"/>
            <w:vMerge w:val="restart"/>
          </w:tcPr>
          <w:p>
            <w:pPr>
              <w:jc w:val="center"/>
              <w:ind w:left="339"/>
              <w:spacing w:after="0"/>
              <w:rPr>
                <w:sz w:val="20"/>
                <w:szCs w:val="20"/>
                <w:color w:val="auto"/>
              </w:rPr>
            </w:pPr>
            <w:r>
              <w:rPr>
                <w:rFonts w:ascii="Arial" w:cs="Arial" w:eastAsia="Arial" w:hAnsi="Arial"/>
                <w:sz w:val="14"/>
                <w:szCs w:val="14"/>
                <w:b w:val="1"/>
                <w:bCs w:val="1"/>
                <w:color w:val="auto"/>
                <w:w w:val="95"/>
              </w:rPr>
              <w:t>Commitment</w:t>
            </w:r>
          </w:p>
        </w:tc>
        <w:tc>
          <w:tcPr>
            <w:tcW w:w="4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58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5"/>
              </w:rPr>
              <w:t>Total</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3400" w:type="dxa"/>
            <w:vAlign w:val="bottom"/>
          </w:tcPr>
          <w:p>
            <w:pPr>
              <w:spacing w:after="0"/>
              <w:rPr>
                <w:sz w:val="12"/>
                <w:szCs w:val="12"/>
                <w:color w:val="auto"/>
              </w:rPr>
            </w:pPr>
          </w:p>
        </w:tc>
        <w:tc>
          <w:tcPr>
            <w:tcW w:w="20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240" w:type="dxa"/>
            <w:vAlign w:val="bottom"/>
            <w:gridSpan w:val="3"/>
            <w:vMerge w:val="continue"/>
          </w:tcPr>
          <w:p>
            <w:pPr>
              <w:spacing w:after="0"/>
              <w:rPr>
                <w:sz w:val="12"/>
                <w:szCs w:val="12"/>
                <w:color w:val="auto"/>
              </w:rPr>
            </w:pPr>
          </w:p>
        </w:tc>
        <w:tc>
          <w:tcPr>
            <w:tcW w:w="4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20" w:type="dxa"/>
            <w:vAlign w:val="bottom"/>
            <w:vMerge w:val="restart"/>
          </w:tcPr>
          <w:p>
            <w:pPr>
              <w:jc w:val="right"/>
              <w:ind w:right="79"/>
              <w:spacing w:after="0"/>
              <w:rPr>
                <w:sz w:val="20"/>
                <w:szCs w:val="20"/>
                <w:color w:val="auto"/>
              </w:rPr>
            </w:pPr>
            <w:r>
              <w:rPr>
                <w:rFonts w:ascii="Arial" w:cs="Arial" w:eastAsia="Arial" w:hAnsi="Arial"/>
                <w:sz w:val="14"/>
                <w:szCs w:val="14"/>
                <w:b w:val="1"/>
                <w:bCs w:val="1"/>
                <w:color w:val="auto"/>
                <w:w w:val="93"/>
              </w:rPr>
              <w:t>Deferred</w:t>
            </w:r>
          </w:p>
        </w:tc>
        <w:tc>
          <w:tcPr>
            <w:tcW w:w="1000" w:type="dxa"/>
            <w:vAlign w:val="bottom"/>
            <w:gridSpan w:val="3"/>
          </w:tcPr>
          <w:p>
            <w:pPr>
              <w:jc w:val="center"/>
              <w:ind w:left="239"/>
              <w:spacing w:after="0" w:line="149" w:lineRule="exact"/>
              <w:rPr>
                <w:sz w:val="20"/>
                <w:szCs w:val="20"/>
                <w:color w:val="auto"/>
              </w:rPr>
            </w:pPr>
            <w:r>
              <w:rPr>
                <w:rFonts w:ascii="Arial" w:cs="Arial" w:eastAsia="Arial" w:hAnsi="Arial"/>
                <w:sz w:val="14"/>
                <w:szCs w:val="14"/>
                <w:b w:val="1"/>
                <w:bCs w:val="1"/>
                <w:color w:val="auto"/>
                <w:w w:val="91"/>
              </w:rPr>
              <w:t>Increase</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3400" w:type="dxa"/>
            <w:vAlign w:val="bottom"/>
          </w:tcPr>
          <w:p>
            <w:pPr>
              <w:spacing w:after="0"/>
              <w:rPr>
                <w:sz w:val="12"/>
                <w:szCs w:val="12"/>
                <w:color w:val="auto"/>
              </w:rPr>
            </w:pPr>
          </w:p>
        </w:tc>
        <w:tc>
          <w:tcPr>
            <w:tcW w:w="2060" w:type="dxa"/>
            <w:vAlign w:val="bottom"/>
          </w:tcPr>
          <w:p>
            <w:pPr>
              <w:spacing w:after="0"/>
              <w:rPr>
                <w:sz w:val="12"/>
                <w:szCs w:val="12"/>
                <w:color w:val="auto"/>
              </w:rPr>
            </w:pPr>
          </w:p>
        </w:tc>
        <w:tc>
          <w:tcPr>
            <w:tcW w:w="680" w:type="dxa"/>
            <w:vAlign w:val="bottom"/>
            <w:gridSpan w:val="2"/>
            <w:vMerge w:val="restart"/>
          </w:tcPr>
          <w:p>
            <w:pPr>
              <w:jc w:val="right"/>
              <w:spacing w:after="0"/>
              <w:rPr>
                <w:sz w:val="20"/>
                <w:szCs w:val="20"/>
                <w:color w:val="auto"/>
              </w:rPr>
            </w:pPr>
            <w:r>
              <w:rPr>
                <w:rFonts w:ascii="Arial" w:cs="Arial" w:eastAsia="Arial" w:hAnsi="Arial"/>
                <w:sz w:val="14"/>
                <w:szCs w:val="14"/>
                <w:b w:val="1"/>
                <w:bCs w:val="1"/>
                <w:color w:val="auto"/>
                <w:w w:val="91"/>
              </w:rPr>
              <w:t>Borrowing</w:t>
            </w:r>
          </w:p>
        </w:tc>
        <w:tc>
          <w:tcPr>
            <w:tcW w:w="420" w:type="dxa"/>
            <w:vAlign w:val="bottom"/>
          </w:tcPr>
          <w:p>
            <w:pPr>
              <w:spacing w:after="0"/>
              <w:rPr>
                <w:sz w:val="12"/>
                <w:szCs w:val="12"/>
                <w:color w:val="auto"/>
              </w:rPr>
            </w:pPr>
          </w:p>
        </w:tc>
        <w:tc>
          <w:tcPr>
            <w:tcW w:w="500" w:type="dxa"/>
            <w:vAlign w:val="bottom"/>
            <w:vMerge w:val="restart"/>
          </w:tcPr>
          <w:p>
            <w:pPr>
              <w:ind w:left="20"/>
              <w:spacing w:after="0"/>
              <w:rPr>
                <w:sz w:val="20"/>
                <w:szCs w:val="20"/>
                <w:color w:val="auto"/>
              </w:rPr>
            </w:pPr>
            <w:r>
              <w:rPr>
                <w:rFonts w:ascii="Arial" w:cs="Arial" w:eastAsia="Arial" w:hAnsi="Arial"/>
                <w:sz w:val="14"/>
                <w:szCs w:val="14"/>
                <w:b w:val="1"/>
                <w:bCs w:val="1"/>
                <w:color w:val="auto"/>
                <w:w w:val="96"/>
              </w:rPr>
              <w:t>Annual</w:t>
            </w:r>
          </w:p>
        </w:tc>
        <w:tc>
          <w:tcPr>
            <w:tcW w:w="4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80" w:type="dxa"/>
            <w:vAlign w:val="bottom"/>
          </w:tcPr>
          <w:p>
            <w:pPr>
              <w:jc w:val="center"/>
              <w:ind w:right="61"/>
              <w:spacing w:after="0" w:line="149" w:lineRule="exact"/>
              <w:rPr>
                <w:sz w:val="20"/>
                <w:szCs w:val="20"/>
                <w:color w:val="auto"/>
              </w:rPr>
            </w:pPr>
            <w:r>
              <w:rPr>
                <w:rFonts w:ascii="Arial" w:cs="Arial" w:eastAsia="Arial" w:hAnsi="Arial"/>
                <w:sz w:val="14"/>
                <w:szCs w:val="14"/>
                <w:b w:val="1"/>
                <w:bCs w:val="1"/>
                <w:color w:val="auto"/>
                <w:w w:val="92"/>
              </w:rPr>
              <w:t>Fee on</w:t>
            </w:r>
          </w:p>
        </w:tc>
        <w:tc>
          <w:tcPr>
            <w:tcW w:w="4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20" w:type="dxa"/>
            <w:vAlign w:val="bottom"/>
            <w:vMerge w:val="continue"/>
          </w:tcPr>
          <w:p>
            <w:pPr>
              <w:spacing w:after="0"/>
              <w:rPr>
                <w:sz w:val="12"/>
                <w:szCs w:val="12"/>
                <w:color w:val="auto"/>
              </w:rPr>
            </w:pPr>
          </w:p>
        </w:tc>
        <w:tc>
          <w:tcPr>
            <w:tcW w:w="420" w:type="dxa"/>
            <w:vAlign w:val="bottom"/>
          </w:tcPr>
          <w:p>
            <w:pPr>
              <w:spacing w:after="0"/>
              <w:rPr>
                <w:sz w:val="12"/>
                <w:szCs w:val="12"/>
                <w:color w:val="auto"/>
              </w:rPr>
            </w:pPr>
          </w:p>
        </w:tc>
        <w:tc>
          <w:tcPr>
            <w:tcW w:w="58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90"/>
              </w:rPr>
              <w:t>to</w:t>
            </w:r>
          </w:p>
        </w:tc>
        <w:tc>
          <w:tcPr>
            <w:tcW w:w="0" w:type="dxa"/>
            <w:vAlign w:val="bottom"/>
          </w:tcPr>
          <w:p>
            <w:pPr>
              <w:spacing w:after="0"/>
              <w:rPr>
                <w:sz w:val="1"/>
                <w:szCs w:val="1"/>
                <w:color w:val="auto"/>
              </w:rPr>
            </w:pPr>
          </w:p>
        </w:tc>
      </w:tr>
      <w:tr>
        <w:trPr>
          <w:trHeight w:val="149"/>
        </w:trPr>
        <w:tc>
          <w:tcPr>
            <w:tcW w:w="388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Facility</w:t>
            </w:r>
          </w:p>
        </w:tc>
        <w:tc>
          <w:tcPr>
            <w:tcW w:w="2060" w:type="dxa"/>
            <w:vAlign w:val="bottom"/>
          </w:tcPr>
          <w:p>
            <w:pPr>
              <w:spacing w:after="0"/>
              <w:rPr>
                <w:sz w:val="12"/>
                <w:szCs w:val="12"/>
                <w:color w:val="auto"/>
              </w:rPr>
            </w:pPr>
          </w:p>
        </w:tc>
        <w:tc>
          <w:tcPr>
            <w:tcW w:w="680" w:type="dxa"/>
            <w:vAlign w:val="bottom"/>
            <w:gridSpan w:val="2"/>
            <w:vMerge w:val="continue"/>
          </w:tcPr>
          <w:p>
            <w:pPr>
              <w:spacing w:after="0"/>
              <w:rPr>
                <w:sz w:val="12"/>
                <w:szCs w:val="12"/>
                <w:color w:val="auto"/>
              </w:rPr>
            </w:pPr>
          </w:p>
        </w:tc>
        <w:tc>
          <w:tcPr>
            <w:tcW w:w="420" w:type="dxa"/>
            <w:vAlign w:val="bottom"/>
          </w:tcPr>
          <w:p>
            <w:pPr>
              <w:spacing w:after="0"/>
              <w:rPr>
                <w:sz w:val="12"/>
                <w:szCs w:val="12"/>
                <w:color w:val="auto"/>
              </w:rPr>
            </w:pPr>
          </w:p>
        </w:tc>
        <w:tc>
          <w:tcPr>
            <w:tcW w:w="500" w:type="dxa"/>
            <w:vAlign w:val="bottom"/>
            <w:vMerge w:val="continue"/>
          </w:tcPr>
          <w:p>
            <w:pPr>
              <w:spacing w:after="0"/>
              <w:rPr>
                <w:sz w:val="12"/>
                <w:szCs w:val="12"/>
                <w:color w:val="auto"/>
              </w:rPr>
            </w:pPr>
          </w:p>
        </w:tc>
        <w:tc>
          <w:tcPr>
            <w:tcW w:w="4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80" w:type="dxa"/>
            <w:vAlign w:val="bottom"/>
          </w:tcPr>
          <w:p>
            <w:pPr>
              <w:jc w:val="center"/>
              <w:ind w:right="61"/>
              <w:spacing w:after="0" w:line="149" w:lineRule="exact"/>
              <w:rPr>
                <w:sz w:val="20"/>
                <w:szCs w:val="20"/>
                <w:color w:val="auto"/>
              </w:rPr>
            </w:pPr>
            <w:r>
              <w:rPr>
                <w:rFonts w:ascii="Arial" w:cs="Arial" w:eastAsia="Arial" w:hAnsi="Arial"/>
                <w:sz w:val="14"/>
                <w:szCs w:val="14"/>
                <w:b w:val="1"/>
                <w:bCs w:val="1"/>
                <w:color w:val="auto"/>
                <w:w w:val="89"/>
              </w:rPr>
              <w:t>Unused</w:t>
            </w:r>
          </w:p>
        </w:tc>
        <w:tc>
          <w:tcPr>
            <w:tcW w:w="4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20" w:type="dxa"/>
            <w:vAlign w:val="bottom"/>
          </w:tcPr>
          <w:p>
            <w:pPr>
              <w:jc w:val="right"/>
              <w:ind w:right="199"/>
              <w:spacing w:after="0" w:line="149" w:lineRule="exact"/>
              <w:rPr>
                <w:sz w:val="20"/>
                <w:szCs w:val="20"/>
                <w:color w:val="auto"/>
              </w:rPr>
            </w:pPr>
            <w:r>
              <w:rPr>
                <w:rFonts w:ascii="Arial" w:cs="Arial" w:eastAsia="Arial" w:hAnsi="Arial"/>
                <w:sz w:val="14"/>
                <w:szCs w:val="14"/>
                <w:b w:val="1"/>
                <w:bCs w:val="1"/>
                <w:color w:val="auto"/>
              </w:rPr>
              <w:t>Cost</w:t>
            </w:r>
          </w:p>
        </w:tc>
        <w:tc>
          <w:tcPr>
            <w:tcW w:w="420" w:type="dxa"/>
            <w:vAlign w:val="bottom"/>
          </w:tcPr>
          <w:p>
            <w:pPr>
              <w:spacing w:after="0"/>
              <w:rPr>
                <w:sz w:val="12"/>
                <w:szCs w:val="12"/>
                <w:color w:val="auto"/>
              </w:rPr>
            </w:pPr>
          </w:p>
        </w:tc>
        <w:tc>
          <w:tcPr>
            <w:tcW w:w="58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94"/>
              </w:rPr>
              <w:t>Interest</w:t>
            </w:r>
          </w:p>
        </w:tc>
        <w:tc>
          <w:tcPr>
            <w:tcW w:w="0" w:type="dxa"/>
            <w:vAlign w:val="bottom"/>
          </w:tcPr>
          <w:p>
            <w:pPr>
              <w:spacing w:after="0"/>
              <w:rPr>
                <w:sz w:val="1"/>
                <w:szCs w:val="1"/>
                <w:color w:val="auto"/>
              </w:rPr>
            </w:pPr>
          </w:p>
        </w:tc>
      </w:tr>
      <w:tr>
        <w:trPr>
          <w:trHeight w:val="158"/>
        </w:trPr>
        <w:tc>
          <w:tcPr>
            <w:tcW w:w="3880" w:type="dxa"/>
            <w:vAlign w:val="bottom"/>
            <w:gridSpan w:val="3"/>
            <w:vMerge w:val="continue"/>
          </w:tcPr>
          <w:p>
            <w:pPr>
              <w:spacing w:after="0"/>
              <w:rPr>
                <w:sz w:val="13"/>
                <w:szCs w:val="13"/>
                <w:color w:val="auto"/>
              </w:rPr>
            </w:pPr>
          </w:p>
        </w:tc>
        <w:tc>
          <w:tcPr>
            <w:tcW w:w="20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0" w:type="dxa"/>
            <w:vAlign w:val="bottom"/>
          </w:tcPr>
          <w:p>
            <w:pPr>
              <w:jc w:val="right"/>
              <w:ind w:right="16"/>
              <w:spacing w:after="0" w:line="158" w:lineRule="exact"/>
              <w:rPr>
                <w:sz w:val="20"/>
                <w:szCs w:val="20"/>
                <w:color w:val="auto"/>
              </w:rPr>
            </w:pPr>
            <w:r>
              <w:rPr>
                <w:rFonts w:ascii="Arial" w:cs="Arial" w:eastAsia="Arial" w:hAnsi="Arial"/>
                <w:sz w:val="14"/>
                <w:szCs w:val="14"/>
                <w:b w:val="1"/>
                <w:bCs w:val="1"/>
                <w:color w:val="auto"/>
                <w:w w:val="90"/>
              </w:rPr>
              <w:t>Amount</w:t>
            </w:r>
          </w:p>
        </w:tc>
        <w:tc>
          <w:tcPr>
            <w:tcW w:w="420" w:type="dxa"/>
            <w:vAlign w:val="bottom"/>
          </w:tcPr>
          <w:p>
            <w:pPr>
              <w:spacing w:after="0"/>
              <w:rPr>
                <w:sz w:val="13"/>
                <w:szCs w:val="13"/>
                <w:color w:val="auto"/>
              </w:rPr>
            </w:pPr>
          </w:p>
        </w:tc>
        <w:tc>
          <w:tcPr>
            <w:tcW w:w="500" w:type="dxa"/>
            <w:vAlign w:val="bottom"/>
          </w:tcPr>
          <w:p>
            <w:pPr>
              <w:ind w:left="20"/>
              <w:spacing w:after="0" w:line="158" w:lineRule="exact"/>
              <w:rPr>
                <w:sz w:val="20"/>
                <w:szCs w:val="20"/>
                <w:color w:val="auto"/>
              </w:rPr>
            </w:pPr>
            <w:r>
              <w:rPr>
                <w:rFonts w:ascii="Arial" w:cs="Arial" w:eastAsia="Arial" w:hAnsi="Arial"/>
                <w:sz w:val="14"/>
                <w:szCs w:val="14"/>
                <w:b w:val="1"/>
                <w:bCs w:val="1"/>
                <w:color w:val="auto"/>
                <w:w w:val="90"/>
              </w:rPr>
              <w:t>Interest</w:t>
            </w:r>
          </w:p>
        </w:tc>
        <w:tc>
          <w:tcPr>
            <w:tcW w:w="4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80" w:type="dxa"/>
            <w:vAlign w:val="bottom"/>
          </w:tcPr>
          <w:p>
            <w:pPr>
              <w:jc w:val="center"/>
              <w:ind w:right="61"/>
              <w:spacing w:after="0" w:line="158" w:lineRule="exact"/>
              <w:rPr>
                <w:sz w:val="20"/>
                <w:szCs w:val="20"/>
                <w:color w:val="auto"/>
              </w:rPr>
            </w:pPr>
            <w:r>
              <w:rPr>
                <w:rFonts w:ascii="Arial" w:cs="Arial" w:eastAsia="Arial" w:hAnsi="Arial"/>
                <w:sz w:val="14"/>
                <w:szCs w:val="14"/>
                <w:b w:val="1"/>
                <w:bCs w:val="1"/>
                <w:color w:val="auto"/>
                <w:w w:val="93"/>
              </w:rPr>
              <w:t>Portion</w:t>
            </w:r>
          </w:p>
        </w:tc>
        <w:tc>
          <w:tcPr>
            <w:tcW w:w="1260" w:type="dxa"/>
            <w:vAlign w:val="bottom"/>
            <w:gridSpan w:val="3"/>
          </w:tcPr>
          <w:p>
            <w:pPr>
              <w:ind w:left="420"/>
              <w:spacing w:after="0" w:line="158" w:lineRule="exact"/>
              <w:rPr>
                <w:sz w:val="20"/>
                <w:szCs w:val="20"/>
                <w:color w:val="auto"/>
              </w:rPr>
            </w:pPr>
            <w:r>
              <w:rPr>
                <w:rFonts w:ascii="Arial" w:cs="Arial" w:eastAsia="Arial" w:hAnsi="Arial"/>
                <w:sz w:val="14"/>
                <w:szCs w:val="14"/>
                <w:b w:val="1"/>
                <w:bCs w:val="1"/>
                <w:color w:val="auto"/>
                <w:w w:val="95"/>
              </w:rPr>
              <w:t>Amortization</w:t>
            </w:r>
          </w:p>
        </w:tc>
        <w:tc>
          <w:tcPr>
            <w:tcW w:w="420" w:type="dxa"/>
            <w:vAlign w:val="bottom"/>
          </w:tcPr>
          <w:p>
            <w:pPr>
              <w:spacing w:after="0"/>
              <w:rPr>
                <w:sz w:val="13"/>
                <w:szCs w:val="13"/>
                <w:color w:val="auto"/>
              </w:rPr>
            </w:pPr>
          </w:p>
        </w:tc>
        <w:tc>
          <w:tcPr>
            <w:tcW w:w="580" w:type="dxa"/>
            <w:vAlign w:val="bottom"/>
            <w:gridSpan w:val="2"/>
          </w:tcPr>
          <w:p>
            <w:pPr>
              <w:jc w:val="center"/>
              <w:ind w:right="80"/>
              <w:spacing w:after="0" w:line="158" w:lineRule="exact"/>
              <w:rPr>
                <w:sz w:val="20"/>
                <w:szCs w:val="20"/>
                <w:color w:val="auto"/>
              </w:rPr>
            </w:pPr>
            <w:r>
              <w:rPr>
                <w:rFonts w:ascii="Arial" w:cs="Arial" w:eastAsia="Arial" w:hAnsi="Arial"/>
                <w:sz w:val="14"/>
                <w:szCs w:val="14"/>
                <w:b w:val="1"/>
                <w:bCs w:val="1"/>
                <w:color w:val="auto"/>
                <w:w w:val="86"/>
              </w:rPr>
              <w:t>Expense</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60" w:type="dxa"/>
            <w:vAlign w:val="bottom"/>
            <w:tcBorders>
              <w:bottom w:val="single" w:sz="8" w:color="CCEEFF"/>
            </w:tcBorders>
            <w:shd w:val="clear" w:color="auto" w:fill="000000"/>
          </w:tcPr>
          <w:p>
            <w:pPr>
              <w:spacing w:after="0" w:line="20" w:lineRule="exact"/>
              <w:rPr>
                <w:sz w:val="1"/>
                <w:szCs w:val="1"/>
                <w:color w:val="auto"/>
              </w:rPr>
            </w:pPr>
          </w:p>
        </w:tc>
        <w:tc>
          <w:tcPr>
            <w:tcW w:w="3400" w:type="dxa"/>
            <w:vAlign w:val="bottom"/>
            <w:tcBorders>
              <w:bottom w:val="single" w:sz="8" w:color="CCEEFF"/>
            </w:tcBorders>
          </w:tcPr>
          <w:p>
            <w:pPr>
              <w:spacing w:after="0" w:line="20" w:lineRule="exact"/>
              <w:rPr>
                <w:sz w:val="1"/>
                <w:szCs w:val="1"/>
                <w:color w:val="auto"/>
              </w:rPr>
            </w:pPr>
          </w:p>
        </w:tc>
        <w:tc>
          <w:tcPr>
            <w:tcW w:w="206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CCEEFF"/>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CCEEFF"/>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20" w:type="dxa"/>
            <w:vAlign w:val="bottom"/>
          </w:tcPr>
          <w:p>
            <w:pPr>
              <w:spacing w:after="0"/>
              <w:rPr>
                <w:sz w:val="17"/>
                <w:szCs w:val="17"/>
                <w:color w:val="auto"/>
              </w:rPr>
            </w:pPr>
          </w:p>
        </w:tc>
        <w:tc>
          <w:tcPr>
            <w:tcW w:w="3860" w:type="dxa"/>
            <w:vAlign w:val="bottom"/>
            <w:gridSpan w:val="2"/>
            <w:shd w:val="clear" w:color="auto" w:fill="CCEEFF"/>
          </w:tcPr>
          <w:p>
            <w:pPr>
              <w:spacing w:after="0" w:line="203" w:lineRule="exact"/>
              <w:rPr>
                <w:sz w:val="20"/>
                <w:szCs w:val="20"/>
                <w:color w:val="auto"/>
              </w:rPr>
            </w:pPr>
            <w:r>
              <w:rPr>
                <w:rFonts w:ascii="Arial" w:cs="Arial" w:eastAsia="Arial" w:hAnsi="Arial"/>
                <w:sz w:val="18"/>
                <w:szCs w:val="18"/>
                <w:color w:val="auto"/>
              </w:rPr>
              <w:t>Term Loan</w:t>
            </w:r>
          </w:p>
        </w:tc>
        <w:tc>
          <w:tcPr>
            <w:tcW w:w="2060" w:type="dxa"/>
            <w:vAlign w:val="bottom"/>
            <w:shd w:val="clear" w:color="auto" w:fill="CCEEFF"/>
          </w:tcPr>
          <w:p>
            <w:pPr>
              <w:spacing w:after="0"/>
              <w:rPr>
                <w:sz w:val="17"/>
                <w:szCs w:val="17"/>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w w:val="89"/>
              </w:rPr>
              <w:t>125,000</w:t>
            </w:r>
          </w:p>
        </w:tc>
        <w:tc>
          <w:tcPr>
            <w:tcW w:w="42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line="203" w:lineRule="exact"/>
              <w:rPr>
                <w:sz w:val="20"/>
                <w:szCs w:val="20"/>
                <w:color w:val="auto"/>
              </w:rPr>
            </w:pPr>
            <w:r>
              <w:rPr>
                <w:rFonts w:ascii="Arial" w:cs="Arial" w:eastAsia="Arial" w:hAnsi="Arial"/>
                <w:sz w:val="18"/>
                <w:szCs w:val="18"/>
                <w:color w:val="auto"/>
                <w:w w:val="87"/>
              </w:rPr>
              <w:t>$6,550</w:t>
            </w:r>
          </w:p>
        </w:tc>
        <w:tc>
          <w:tcPr>
            <w:tcW w:w="4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80" w:type="dxa"/>
            <w:vAlign w:val="bottom"/>
            <w:shd w:val="clear" w:color="auto" w:fill="CCEEFF"/>
          </w:tcPr>
          <w:p>
            <w:pPr>
              <w:jc w:val="right"/>
              <w:ind w:right="1"/>
              <w:spacing w:after="0" w:line="203" w:lineRule="exact"/>
              <w:rPr>
                <w:sz w:val="20"/>
                <w:szCs w:val="20"/>
                <w:color w:val="auto"/>
              </w:rPr>
            </w:pPr>
            <w:r>
              <w:rPr>
                <w:rFonts w:ascii="Arial" w:cs="Arial" w:eastAsia="Arial" w:hAnsi="Arial"/>
                <w:sz w:val="18"/>
                <w:szCs w:val="18"/>
                <w:color w:val="auto"/>
              </w:rPr>
              <w:t>—</w:t>
            </w:r>
          </w:p>
        </w:tc>
        <w:tc>
          <w:tcPr>
            <w:tcW w:w="4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line="203" w:lineRule="exact"/>
              <w:rPr>
                <w:sz w:val="20"/>
                <w:szCs w:val="20"/>
                <w:color w:val="auto"/>
              </w:rPr>
            </w:pPr>
            <w:r>
              <w:rPr>
                <w:rFonts w:ascii="Arial" w:cs="Arial" w:eastAsia="Arial" w:hAnsi="Arial"/>
                <w:sz w:val="18"/>
                <w:szCs w:val="18"/>
                <w:color w:val="auto"/>
                <w:w w:val="99"/>
              </w:rPr>
              <w:t>$</w:t>
            </w:r>
          </w:p>
        </w:tc>
        <w:tc>
          <w:tcPr>
            <w:tcW w:w="72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rPr>
              <w:t>615</w:t>
            </w:r>
          </w:p>
        </w:tc>
        <w:tc>
          <w:tcPr>
            <w:tcW w:w="420" w:type="dxa"/>
            <w:vAlign w:val="bottom"/>
            <w:shd w:val="clear" w:color="auto" w:fill="CCEEFF"/>
          </w:tcPr>
          <w:p>
            <w:pPr>
              <w:spacing w:after="0"/>
              <w:rPr>
                <w:sz w:val="17"/>
                <w:szCs w:val="17"/>
                <w:color w:val="auto"/>
              </w:rPr>
            </w:pPr>
          </w:p>
        </w:tc>
        <w:tc>
          <w:tcPr>
            <w:tcW w:w="52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w w:val="83"/>
              </w:rPr>
              <w:t>$ 7,165</w:t>
            </w: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860" w:type="dxa"/>
            <w:vAlign w:val="bottom"/>
            <w:gridSpan w:val="2"/>
          </w:tcPr>
          <w:p>
            <w:pPr>
              <w:spacing w:after="0"/>
              <w:rPr>
                <w:sz w:val="20"/>
                <w:szCs w:val="20"/>
                <w:color w:val="auto"/>
              </w:rPr>
            </w:pPr>
            <w:r>
              <w:rPr>
                <w:rFonts w:ascii="Arial" w:cs="Arial" w:eastAsia="Arial" w:hAnsi="Arial"/>
                <w:sz w:val="18"/>
                <w:szCs w:val="18"/>
                <w:color w:val="auto"/>
              </w:rPr>
              <w:t>Revolving Credit Facility</w:t>
            </w:r>
          </w:p>
        </w:tc>
        <w:tc>
          <w:tcPr>
            <w:tcW w:w="21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50,000</w:t>
            </w:r>
          </w:p>
        </w:tc>
        <w:tc>
          <w:tcPr>
            <w:tcW w:w="920" w:type="dxa"/>
            <w:vAlign w:val="bottom"/>
            <w:gridSpan w:val="2"/>
          </w:tcPr>
          <w:p>
            <w:pPr>
              <w:ind w:left="420"/>
              <w:spacing w:after="0"/>
              <w:rPr>
                <w:sz w:val="20"/>
                <w:szCs w:val="20"/>
                <w:color w:val="auto"/>
              </w:rPr>
            </w:pPr>
            <w:r>
              <w:rPr>
                <w:rFonts w:ascii="Arial" w:cs="Arial" w:eastAsia="Arial" w:hAnsi="Arial"/>
                <w:sz w:val="18"/>
                <w:szCs w:val="18"/>
                <w:color w:val="auto"/>
                <w:w w:val="87"/>
              </w:rPr>
              <w:t>$2,545</w:t>
            </w:r>
          </w:p>
        </w:tc>
        <w:tc>
          <w:tcPr>
            <w:tcW w:w="56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85</w:t>
            </w:r>
          </w:p>
        </w:tc>
        <w:tc>
          <w:tcPr>
            <w:tcW w:w="540" w:type="dxa"/>
            <w:vAlign w:val="bottom"/>
            <w:gridSpan w:val="2"/>
          </w:tcPr>
          <w:p>
            <w:pPr>
              <w:ind w:left="420"/>
              <w:spacing w:after="0"/>
              <w:rPr>
                <w:sz w:val="20"/>
                <w:szCs w:val="20"/>
                <w:color w:val="auto"/>
              </w:rPr>
            </w:pPr>
            <w:r>
              <w:rPr>
                <w:rFonts w:ascii="Arial" w:cs="Arial" w:eastAsia="Arial" w:hAnsi="Arial"/>
                <w:sz w:val="18"/>
                <w:szCs w:val="18"/>
                <w:color w:val="auto"/>
                <w:w w:val="99"/>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336</w:t>
            </w:r>
          </w:p>
        </w:tc>
        <w:tc>
          <w:tcPr>
            <w:tcW w:w="940" w:type="dxa"/>
            <w:vAlign w:val="bottom"/>
            <w:gridSpan w:val="2"/>
          </w:tcPr>
          <w:p>
            <w:pPr>
              <w:jc w:val="right"/>
              <w:spacing w:after="0"/>
              <w:rPr>
                <w:sz w:val="20"/>
                <w:szCs w:val="20"/>
                <w:color w:val="auto"/>
              </w:rPr>
            </w:pPr>
            <w:r>
              <w:rPr>
                <w:rFonts w:ascii="Arial" w:cs="Arial" w:eastAsia="Arial" w:hAnsi="Arial"/>
                <w:sz w:val="18"/>
                <w:szCs w:val="18"/>
                <w:color w:val="auto"/>
              </w:rPr>
              <w:t>$ 2,966</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194" w:lineRule="exact"/>
        <w:rPr>
          <w:sz w:val="20"/>
          <w:szCs w:val="20"/>
          <w:color w:val="auto"/>
        </w:rPr>
      </w:pPr>
    </w:p>
    <w:tbl>
      <w:tblPr>
        <w:tblLayout w:type="fixed"/>
        <w:tblInd w:w="880" w:type="dxa"/>
        <w:tblCellMar>
          <w:top w:w="0" w:type="dxa"/>
          <w:left w:w="0" w:type="dxa"/>
          <w:bottom w:w="0" w:type="dxa"/>
          <w:right w:w="0" w:type="dxa"/>
        </w:tblCellMar>
      </w:tblPr>
      <w:tr>
        <w:trPr>
          <w:trHeight w:val="161"/>
        </w:trPr>
        <w:tc>
          <w:tcPr>
            <w:tcW w:w="480" w:type="dxa"/>
            <w:vAlign w:val="bottom"/>
            <w:vMerge w:val="restart"/>
          </w:tcPr>
          <w:p>
            <w:pPr>
              <w:spacing w:after="0"/>
              <w:rPr>
                <w:sz w:val="20"/>
                <w:szCs w:val="20"/>
                <w:color w:val="auto"/>
              </w:rPr>
            </w:pPr>
            <w:r>
              <w:rPr>
                <w:rFonts w:ascii="Arial" w:cs="Arial" w:eastAsia="Arial" w:hAnsi="Arial"/>
                <w:sz w:val="14"/>
                <w:szCs w:val="14"/>
                <w:b w:val="1"/>
                <w:bCs w:val="1"/>
                <w:color w:val="auto"/>
                <w:w w:val="95"/>
              </w:rPr>
              <w:t>Facility</w:t>
            </w:r>
          </w:p>
        </w:tc>
        <w:tc>
          <w:tcPr>
            <w:tcW w:w="4680" w:type="dxa"/>
            <w:vAlign w:val="bottom"/>
            <w:vMerge w:val="restart"/>
          </w:tcPr>
          <w:p>
            <w:pPr>
              <w:spacing w:after="0"/>
              <w:rPr>
                <w:sz w:val="14"/>
                <w:szCs w:val="14"/>
                <w:color w:val="auto"/>
              </w:rPr>
            </w:pPr>
          </w:p>
        </w:tc>
        <w:tc>
          <w:tcPr>
            <w:tcW w:w="2200" w:type="dxa"/>
            <w:vAlign w:val="bottom"/>
            <w:gridSpan w:val="2"/>
          </w:tcPr>
          <w:p>
            <w:pPr>
              <w:jc w:val="center"/>
              <w:ind w:right="740"/>
              <w:spacing w:after="0"/>
              <w:rPr>
                <w:sz w:val="20"/>
                <w:szCs w:val="20"/>
                <w:color w:val="auto"/>
              </w:rPr>
            </w:pPr>
            <w:r>
              <w:rPr>
                <w:rFonts w:ascii="Arial" w:cs="Arial" w:eastAsia="Arial" w:hAnsi="Arial"/>
                <w:sz w:val="14"/>
                <w:szCs w:val="14"/>
                <w:b w:val="1"/>
                <w:bCs w:val="1"/>
                <w:color w:val="auto"/>
                <w:w w:val="94"/>
              </w:rPr>
              <w:t>Interest Rate Index and</w:t>
            </w:r>
          </w:p>
        </w:tc>
        <w:tc>
          <w:tcPr>
            <w:tcW w:w="1500" w:type="dxa"/>
            <w:vAlign w:val="bottom"/>
            <w:gridSpan w:val="2"/>
          </w:tcPr>
          <w:p>
            <w:pPr>
              <w:jc w:val="right"/>
              <w:ind w:right="920"/>
              <w:spacing w:after="0"/>
              <w:rPr>
                <w:sz w:val="20"/>
                <w:szCs w:val="20"/>
                <w:color w:val="auto"/>
              </w:rPr>
            </w:pPr>
            <w:r>
              <w:rPr>
                <w:rFonts w:ascii="Arial" w:cs="Arial" w:eastAsia="Arial" w:hAnsi="Arial"/>
                <w:sz w:val="14"/>
                <w:szCs w:val="14"/>
                <w:b w:val="1"/>
                <w:bCs w:val="1"/>
                <w:color w:val="auto"/>
                <w:w w:val="88"/>
              </w:rPr>
              <w:t>Assumed</w:t>
            </w:r>
          </w:p>
        </w:tc>
        <w:tc>
          <w:tcPr>
            <w:tcW w:w="400" w:type="dxa"/>
            <w:vAlign w:val="bottom"/>
            <w:vMerge w:val="restart"/>
          </w:tcPr>
          <w:p>
            <w:pPr>
              <w:jc w:val="right"/>
              <w:spacing w:after="0"/>
              <w:rPr>
                <w:sz w:val="20"/>
                <w:szCs w:val="20"/>
                <w:color w:val="auto"/>
              </w:rPr>
            </w:pPr>
            <w:r>
              <w:rPr>
                <w:rFonts w:ascii="Arial" w:cs="Arial" w:eastAsia="Arial" w:hAnsi="Arial"/>
                <w:sz w:val="14"/>
                <w:szCs w:val="14"/>
                <w:b w:val="1"/>
                <w:bCs w:val="1"/>
                <w:color w:val="auto"/>
                <w:w w:val="93"/>
              </w:rPr>
              <w:t>Term</w:t>
            </w:r>
          </w:p>
        </w:tc>
        <w:tc>
          <w:tcPr>
            <w:tcW w:w="0" w:type="dxa"/>
            <w:vAlign w:val="bottom"/>
          </w:tcPr>
          <w:p>
            <w:pPr>
              <w:spacing w:after="0"/>
              <w:rPr>
                <w:sz w:val="1"/>
                <w:szCs w:val="1"/>
                <w:color w:val="auto"/>
              </w:rPr>
            </w:pPr>
          </w:p>
        </w:tc>
      </w:tr>
      <w:tr>
        <w:trPr>
          <w:trHeight w:val="163"/>
        </w:trPr>
        <w:tc>
          <w:tcPr>
            <w:tcW w:w="480" w:type="dxa"/>
            <w:vAlign w:val="bottom"/>
            <w:tcBorders>
              <w:bottom w:val="single" w:sz="8" w:color="auto"/>
            </w:tcBorders>
            <w:vMerge w:val="continue"/>
          </w:tcPr>
          <w:p>
            <w:pPr>
              <w:spacing w:after="0"/>
              <w:rPr>
                <w:sz w:val="13"/>
                <w:szCs w:val="13"/>
                <w:color w:val="auto"/>
              </w:rPr>
            </w:pPr>
          </w:p>
        </w:tc>
        <w:tc>
          <w:tcPr>
            <w:tcW w:w="4680" w:type="dxa"/>
            <w:vAlign w:val="bottom"/>
            <w:vMerge w:val="continue"/>
          </w:tcPr>
          <w:p>
            <w:pPr>
              <w:spacing w:after="0"/>
              <w:rPr>
                <w:sz w:val="13"/>
                <w:szCs w:val="13"/>
                <w:color w:val="auto"/>
              </w:rPr>
            </w:pPr>
          </w:p>
        </w:tc>
        <w:tc>
          <w:tcPr>
            <w:tcW w:w="2200" w:type="dxa"/>
            <w:vAlign w:val="bottom"/>
            <w:gridSpan w:val="2"/>
          </w:tcPr>
          <w:p>
            <w:pPr>
              <w:jc w:val="center"/>
              <w:ind w:right="740"/>
              <w:spacing w:after="0" w:line="158" w:lineRule="exact"/>
              <w:rPr>
                <w:sz w:val="20"/>
                <w:szCs w:val="20"/>
                <w:color w:val="auto"/>
              </w:rPr>
            </w:pPr>
            <w:r>
              <w:rPr>
                <w:rFonts w:ascii="Arial" w:cs="Arial" w:eastAsia="Arial" w:hAnsi="Arial"/>
                <w:sz w:val="14"/>
                <w:szCs w:val="14"/>
                <w:b w:val="1"/>
                <w:bCs w:val="1"/>
                <w:color w:val="auto"/>
              </w:rPr>
              <w:t>Margin</w:t>
            </w:r>
          </w:p>
        </w:tc>
        <w:tc>
          <w:tcPr>
            <w:tcW w:w="1500" w:type="dxa"/>
            <w:vAlign w:val="bottom"/>
            <w:gridSpan w:val="2"/>
          </w:tcPr>
          <w:p>
            <w:pPr>
              <w:jc w:val="right"/>
              <w:ind w:right="1060"/>
              <w:spacing w:after="0" w:line="158" w:lineRule="exact"/>
              <w:rPr>
                <w:sz w:val="20"/>
                <w:szCs w:val="20"/>
                <w:color w:val="auto"/>
              </w:rPr>
            </w:pPr>
            <w:r>
              <w:rPr>
                <w:rFonts w:ascii="Arial" w:cs="Arial" w:eastAsia="Arial" w:hAnsi="Arial"/>
                <w:sz w:val="14"/>
                <w:szCs w:val="14"/>
                <w:b w:val="1"/>
                <w:bCs w:val="1"/>
                <w:color w:val="auto"/>
              </w:rPr>
              <w:t>Rate</w:t>
            </w:r>
          </w:p>
        </w:tc>
        <w:tc>
          <w:tcPr>
            <w:tcW w:w="40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5160" w:type="dxa"/>
            <w:vAlign w:val="bottom"/>
            <w:gridSpan w:val="2"/>
            <w:vMerge w:val="restart"/>
            <w:shd w:val="clear" w:color="auto" w:fill="CCEEFF"/>
          </w:tcPr>
          <w:p>
            <w:pPr>
              <w:spacing w:after="0"/>
              <w:rPr>
                <w:sz w:val="20"/>
                <w:szCs w:val="20"/>
                <w:color w:val="auto"/>
              </w:rPr>
            </w:pPr>
            <w:r>
              <w:rPr>
                <w:rFonts w:ascii="Arial" w:cs="Arial" w:eastAsia="Arial" w:hAnsi="Arial"/>
                <w:sz w:val="18"/>
                <w:szCs w:val="18"/>
                <w:color w:val="auto"/>
              </w:rPr>
              <w:t>Term Loan</w:t>
            </w:r>
          </w:p>
        </w:tc>
        <w:tc>
          <w:tcPr>
            <w:tcW w:w="1460" w:type="dxa"/>
            <w:vAlign w:val="bottom"/>
            <w:shd w:val="clear" w:color="auto" w:fill="000000"/>
          </w:tcPr>
          <w:p>
            <w:pPr>
              <w:spacing w:after="0" w:line="20" w:lineRule="exact"/>
              <w:rPr>
                <w:sz w:val="1"/>
                <w:szCs w:val="1"/>
                <w:color w:val="auto"/>
              </w:rPr>
            </w:pPr>
          </w:p>
        </w:tc>
        <w:tc>
          <w:tcPr>
            <w:tcW w:w="740" w:type="dxa"/>
            <w:vAlign w:val="bottom"/>
            <w:vMerge w:val="restart"/>
            <w:shd w:val="clear" w:color="auto" w:fill="CCEEFF"/>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920" w:type="dxa"/>
            <w:vAlign w:val="bottom"/>
            <w:shd w:val="clear" w:color="auto" w:fill="CCEEFF"/>
          </w:tcPr>
          <w:p>
            <w:pPr>
              <w:spacing w:after="0" w:line="20" w:lineRule="exact"/>
              <w:rPr>
                <w:sz w:val="1"/>
                <w:szCs w:val="1"/>
                <w:color w:val="auto"/>
              </w:rPr>
            </w:pPr>
          </w:p>
        </w:tc>
        <w:tc>
          <w:tcPr>
            <w:tcW w:w="400" w:type="dxa"/>
            <w:vAlign w:val="bottom"/>
            <w:tcBorders>
              <w:right w:val="single" w:sz="8" w:color="CCEEFF"/>
            </w:tcBorders>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5160" w:type="dxa"/>
            <w:vAlign w:val="bottom"/>
            <w:gridSpan w:val="2"/>
            <w:vMerge w:val="continue"/>
            <w:shd w:val="clear" w:color="auto" w:fill="CCEEFF"/>
          </w:tcPr>
          <w:p>
            <w:pPr>
              <w:spacing w:after="0"/>
              <w:rPr>
                <w:sz w:val="17"/>
                <w:szCs w:val="17"/>
                <w:color w:val="auto"/>
              </w:rPr>
            </w:pPr>
          </w:p>
        </w:tc>
        <w:tc>
          <w:tcPr>
            <w:tcW w:w="1460" w:type="dxa"/>
            <w:vAlign w:val="bottom"/>
            <w:shd w:val="clear" w:color="auto" w:fill="CCEEFF"/>
          </w:tcPr>
          <w:p>
            <w:pPr>
              <w:jc w:val="center"/>
              <w:spacing w:after="0" w:line="203" w:lineRule="exact"/>
              <w:rPr>
                <w:sz w:val="20"/>
                <w:szCs w:val="20"/>
                <w:color w:val="auto"/>
              </w:rPr>
            </w:pPr>
            <w:r>
              <w:rPr>
                <w:rFonts w:ascii="Arial" w:cs="Arial" w:eastAsia="Arial" w:hAnsi="Arial"/>
                <w:sz w:val="18"/>
                <w:szCs w:val="18"/>
                <w:color w:val="auto"/>
                <w:w w:val="90"/>
              </w:rPr>
              <w:t>(a)</w:t>
            </w:r>
          </w:p>
        </w:tc>
        <w:tc>
          <w:tcPr>
            <w:tcW w:w="740" w:type="dxa"/>
            <w:vAlign w:val="bottom"/>
            <w:vMerge w:val="continue"/>
            <w:shd w:val="clear" w:color="auto" w:fill="CCEEFF"/>
          </w:tcPr>
          <w:p>
            <w:pPr>
              <w:spacing w:after="0"/>
              <w:rPr>
                <w:sz w:val="17"/>
                <w:szCs w:val="17"/>
                <w:color w:val="auto"/>
              </w:rPr>
            </w:pPr>
          </w:p>
        </w:tc>
        <w:tc>
          <w:tcPr>
            <w:tcW w:w="1500" w:type="dxa"/>
            <w:vAlign w:val="bottom"/>
            <w:gridSpan w:val="2"/>
            <w:shd w:val="clear" w:color="auto" w:fill="CCEEFF"/>
          </w:tcPr>
          <w:p>
            <w:pPr>
              <w:jc w:val="right"/>
              <w:ind w:right="780"/>
              <w:spacing w:after="0" w:line="203" w:lineRule="exact"/>
              <w:rPr>
                <w:sz w:val="20"/>
                <w:szCs w:val="20"/>
                <w:color w:val="auto"/>
              </w:rPr>
            </w:pPr>
            <w:r>
              <w:rPr>
                <w:rFonts w:ascii="Arial" w:cs="Arial" w:eastAsia="Arial" w:hAnsi="Arial"/>
                <w:sz w:val="18"/>
                <w:szCs w:val="18"/>
                <w:color w:val="auto"/>
              </w:rPr>
              <w:t>5.3%</w:t>
            </w:r>
          </w:p>
        </w:tc>
        <w:tc>
          <w:tcPr>
            <w:tcW w:w="400" w:type="dxa"/>
            <w:vAlign w:val="bottom"/>
            <w:tcBorders>
              <w:right w:val="single" w:sz="8" w:color="CCEEFF"/>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30"/>
        </w:trPr>
        <w:tc>
          <w:tcPr>
            <w:tcW w:w="5160" w:type="dxa"/>
            <w:vAlign w:val="bottom"/>
            <w:gridSpan w:val="2"/>
          </w:tcPr>
          <w:p>
            <w:pPr>
              <w:spacing w:after="0"/>
              <w:rPr>
                <w:sz w:val="20"/>
                <w:szCs w:val="20"/>
                <w:color w:val="auto"/>
              </w:rPr>
            </w:pPr>
            <w:r>
              <w:rPr>
                <w:rFonts w:ascii="Arial" w:cs="Arial" w:eastAsia="Arial" w:hAnsi="Arial"/>
                <w:sz w:val="18"/>
                <w:szCs w:val="18"/>
                <w:color w:val="auto"/>
              </w:rPr>
              <w:t>Revolving Credit Facility</w:t>
            </w:r>
          </w:p>
        </w:tc>
        <w:tc>
          <w:tcPr>
            <w:tcW w:w="2200" w:type="dxa"/>
            <w:vAlign w:val="bottom"/>
            <w:gridSpan w:val="2"/>
          </w:tcPr>
          <w:p>
            <w:pPr>
              <w:jc w:val="center"/>
              <w:ind w:right="720"/>
              <w:spacing w:after="0"/>
              <w:rPr>
                <w:sz w:val="20"/>
                <w:szCs w:val="20"/>
                <w:color w:val="auto"/>
              </w:rPr>
            </w:pPr>
            <w:r>
              <w:rPr>
                <w:rFonts w:ascii="Arial" w:cs="Arial" w:eastAsia="Arial" w:hAnsi="Arial"/>
                <w:sz w:val="18"/>
                <w:szCs w:val="18"/>
                <w:color w:val="auto"/>
                <w:w w:val="90"/>
              </w:rPr>
              <w:t>(a)</w:t>
            </w:r>
          </w:p>
        </w:tc>
        <w:tc>
          <w:tcPr>
            <w:tcW w:w="1500" w:type="dxa"/>
            <w:vAlign w:val="bottom"/>
            <w:gridSpan w:val="2"/>
          </w:tcPr>
          <w:p>
            <w:pPr>
              <w:jc w:val="right"/>
              <w:ind w:right="780"/>
              <w:spacing w:after="0"/>
              <w:rPr>
                <w:sz w:val="20"/>
                <w:szCs w:val="20"/>
                <w:color w:val="auto"/>
              </w:rPr>
            </w:pPr>
            <w:r>
              <w:rPr>
                <w:rFonts w:ascii="Arial" w:cs="Arial" w:eastAsia="Arial" w:hAnsi="Arial"/>
                <w:sz w:val="18"/>
                <w:szCs w:val="18"/>
                <w:color w:val="auto"/>
              </w:rPr>
              <w:t>5.1%</w:t>
            </w:r>
          </w:p>
        </w:tc>
        <w:tc>
          <w:tcPr>
            <w:tcW w:w="400" w:type="dxa"/>
            <w:vAlign w:val="bottom"/>
          </w:tcPr>
          <w:p>
            <w:pPr>
              <w:jc w:val="right"/>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bl>
    <w:p>
      <w:pPr>
        <w:spacing w:after="0" w:line="214" w:lineRule="exact"/>
        <w:rPr>
          <w:sz w:val="20"/>
          <w:szCs w:val="20"/>
          <w:color w:val="auto"/>
        </w:rPr>
      </w:pPr>
    </w:p>
    <w:p>
      <w:pPr>
        <w:ind w:left="440" w:right="100" w:hanging="436"/>
        <w:spacing w:after="0" w:line="255" w:lineRule="auto"/>
        <w:tabs>
          <w:tab w:leader="none" w:pos="440" w:val="left"/>
        </w:tabs>
        <w:numPr>
          <w:ilvl w:val="0"/>
          <w:numId w:val="26"/>
        </w:numPr>
        <w:rPr>
          <w:rFonts w:ascii="Arial" w:cs="Arial" w:eastAsia="Arial" w:hAnsi="Arial"/>
          <w:sz w:val="18"/>
          <w:szCs w:val="18"/>
          <w:color w:val="auto"/>
        </w:rPr>
      </w:pPr>
      <w:r>
        <w:rPr>
          <w:rFonts w:ascii="Arial" w:cs="Arial" w:eastAsia="Arial" w:hAnsi="Arial"/>
          <w:sz w:val="18"/>
          <w:szCs w:val="18"/>
          <w:color w:val="auto"/>
        </w:rPr>
        <w:t>Amounts borrowed under the Credit Facilities bear interest, at Forrester’s option, at a rate per annum equal to either (i) the LIBOR for the applicable interest period plus a margin that is between 1.75% and 2.50% based on Forrester’s consolidated total leverage ratio or (ii) the applicable base rate plus a margin that is between 0.75% and 1.50% based on Forrester’s consolidated total leverage ratio. In addition, Forrester will pay a commitment fee equal to 0.35% per annum on the average daily unused portion of the Revolving Credit Facility, payable quarterly, in arrears, and on the date of termination of expiration of the Revolving Credit Facility. The commitment fee may decrease to 0.30% or 0.25% based on Forrester’s consolidated total leverage ratio.</w:t>
      </w:r>
    </w:p>
    <w:p>
      <w:pPr>
        <w:spacing w:after="0" w:line="193" w:lineRule="exact"/>
        <w:rPr>
          <w:sz w:val="20"/>
          <w:szCs w:val="20"/>
          <w:color w:val="auto"/>
        </w:rPr>
      </w:pPr>
    </w:p>
    <w:p>
      <w:pPr>
        <w:ind w:right="400"/>
        <w:spacing w:after="0" w:line="277" w:lineRule="auto"/>
        <w:rPr>
          <w:sz w:val="20"/>
          <w:szCs w:val="20"/>
          <w:color w:val="auto"/>
        </w:rPr>
      </w:pPr>
      <w:r>
        <w:rPr>
          <w:rFonts w:ascii="Arial" w:cs="Arial" w:eastAsia="Arial" w:hAnsi="Arial"/>
          <w:sz w:val="18"/>
          <w:szCs w:val="18"/>
          <w:color w:val="auto"/>
        </w:rPr>
        <w:t>If the interest rates on the Term Loan and Revolving Credit Facility increase or decrease by 0.125%, interest expense would increase or decrease by $0.2 million for the year ended December 31, 2018.</w:t>
      </w:r>
    </w:p>
    <w:p>
      <w:pPr>
        <w:spacing w:after="0" w:line="103"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040"/>
          </w:cols>
          <w:pgMar w:left="440" w:top="274" w:right="419" w:bottom="1440" w:gutter="0" w:footer="0" w:header="0"/>
        </w:sectPr>
      </w:pPr>
    </w:p>
    <w:bookmarkStart w:id="46" w:name="page47"/>
    <w:bookmarkEnd w:id="46"/>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289165" cy="38735"/>
                    </a:xfrm>
                    <a:prstGeom prst="rect">
                      <a:avLst/>
                    </a:prstGeom>
                    <a:noFill/>
                  </pic:spPr>
                </pic:pic>
              </a:graphicData>
            </a:graphic>
          </wp:anchor>
        </w:drawing>
        <w:t>C- Deferred revenue</w:t>
      </w:r>
    </w:p>
    <w:p>
      <w:pPr>
        <w:spacing w:after="0" w:line="121" w:lineRule="exact"/>
        <w:rPr>
          <w:sz w:val="20"/>
          <w:szCs w:val="20"/>
          <w:color w:val="auto"/>
        </w:rPr>
      </w:pPr>
    </w:p>
    <w:p>
      <w:pPr>
        <w:ind w:right="400"/>
        <w:spacing w:after="0" w:line="264" w:lineRule="auto"/>
        <w:rPr>
          <w:sz w:val="20"/>
          <w:szCs w:val="20"/>
          <w:color w:val="auto"/>
        </w:rPr>
      </w:pPr>
      <w:r>
        <w:rPr>
          <w:rFonts w:ascii="Arial" w:cs="Arial" w:eastAsia="Arial" w:hAnsi="Arial"/>
          <w:sz w:val="18"/>
          <w:szCs w:val="18"/>
          <w:color w:val="auto"/>
        </w:rPr>
        <w:t>The adjustment to reduce revenue by $9.0 million for the year ended December 31, 2018 reflects the difference between prepayments related to contractual services and the fair value of the assumed performance obligations as they are satisfied, assuming the transaction was consummated on January 1, 2018.</w:t>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D—New compensation arrangements</w:t>
      </w:r>
    </w:p>
    <w:p>
      <w:pPr>
        <w:spacing w:after="0" w:line="121" w:lineRule="exact"/>
        <w:rPr>
          <w:sz w:val="20"/>
          <w:szCs w:val="20"/>
          <w:color w:val="auto"/>
        </w:rPr>
      </w:pPr>
    </w:p>
    <w:p>
      <w:pPr>
        <w:spacing w:after="0" w:line="264" w:lineRule="auto"/>
        <w:rPr>
          <w:sz w:val="20"/>
          <w:szCs w:val="20"/>
          <w:color w:val="auto"/>
        </w:rPr>
      </w:pPr>
      <w:r>
        <w:rPr>
          <w:rFonts w:ascii="Arial" w:cs="Arial" w:eastAsia="Arial" w:hAnsi="Arial"/>
          <w:sz w:val="18"/>
          <w:szCs w:val="18"/>
          <w:color w:val="auto"/>
        </w:rPr>
        <w:t>This adjustment reflects new compensation arrangements executed with two key executives from Sirius in connection with the business combination, resulting in increases of $0.8 million and $0.2 million in “Cost of services and fulfillment” and “Selling and marketing” expenses, respectively, from the previous compensation expense reflected in Sirius’ historical consolidated statement of operations.</w:t>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 Lease expense</w:t>
      </w:r>
    </w:p>
    <w:p>
      <w:pPr>
        <w:spacing w:after="0" w:line="121" w:lineRule="exact"/>
        <w:rPr>
          <w:sz w:val="20"/>
          <w:szCs w:val="20"/>
          <w:color w:val="auto"/>
        </w:rPr>
      </w:pPr>
    </w:p>
    <w:p>
      <w:pPr>
        <w:ind w:right="80"/>
        <w:spacing w:after="0" w:line="286" w:lineRule="auto"/>
        <w:rPr>
          <w:sz w:val="20"/>
          <w:szCs w:val="20"/>
          <w:color w:val="auto"/>
        </w:rPr>
      </w:pPr>
      <w:r>
        <w:rPr>
          <w:rFonts w:ascii="Arial" w:cs="Arial" w:eastAsia="Arial" w:hAnsi="Arial"/>
          <w:sz w:val="17"/>
          <w:szCs w:val="17"/>
          <w:color w:val="auto"/>
        </w:rPr>
        <w:t>This adjustment reflects the impact of recalculating the lease expense for Sirius acquired leases on a straight line basis excluding the historical deferred rent balances. This adjustment is recorded as an increase in expense in the line items “Cost of services and fulfillment”, “Selling and marketing” and “General and administrative” in the amounts of approximately $59,000, $108,000 and $30,000, respectively.</w:t>
      </w:r>
    </w:p>
    <w:p>
      <w:pPr>
        <w:spacing w:after="0" w:line="27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 – Deferred commission</w:t>
      </w:r>
    </w:p>
    <w:p>
      <w:pPr>
        <w:spacing w:after="0" w:line="121" w:lineRule="exact"/>
        <w:rPr>
          <w:sz w:val="20"/>
          <w:szCs w:val="20"/>
          <w:color w:val="auto"/>
        </w:rPr>
      </w:pPr>
    </w:p>
    <w:p>
      <w:pPr>
        <w:ind w:right="600"/>
        <w:spacing w:after="0" w:line="277" w:lineRule="auto"/>
        <w:rPr>
          <w:sz w:val="20"/>
          <w:szCs w:val="20"/>
          <w:color w:val="auto"/>
        </w:rPr>
      </w:pPr>
      <w:r>
        <w:rPr>
          <w:rFonts w:ascii="Arial" w:cs="Arial" w:eastAsia="Arial" w:hAnsi="Arial"/>
          <w:sz w:val="18"/>
          <w:szCs w:val="18"/>
          <w:color w:val="auto"/>
        </w:rPr>
        <w:t xml:space="preserve">This adjustment represents the decrease in commission expense in “Selling and marketing” expenses in the amount of $2.3 million as a result of adopting ASC 606, </w:t>
      </w:r>
      <w:r>
        <w:rPr>
          <w:rFonts w:ascii="Arial" w:cs="Arial" w:eastAsia="Arial" w:hAnsi="Arial"/>
          <w:sz w:val="18"/>
          <w:szCs w:val="18"/>
          <w:i w:val="1"/>
          <w:iCs w:val="1"/>
          <w:color w:val="auto"/>
        </w:rPr>
        <w:t>Revenue from Contracts with Customers</w:t>
      </w:r>
      <w:r>
        <w:rPr>
          <w:rFonts w:ascii="Arial" w:cs="Arial" w:eastAsia="Arial" w:hAnsi="Arial"/>
          <w:sz w:val="18"/>
          <w:szCs w:val="18"/>
          <w:color w:val="auto"/>
        </w:rPr>
        <w:t>.</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 Transaction costs</w:t>
      </w:r>
    </w:p>
    <w:p>
      <w:pPr>
        <w:spacing w:after="0" w:line="121"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color w:val="auto"/>
        </w:rPr>
        <w:t>Represents the elimination of nonrecurring transaction costs incurred by Forrester and Sirius during the year ended December 31, 2018 of $3.3 million that are directly related to the acquisition of Sirius.</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H—Income taxes</w:t>
      </w:r>
    </w:p>
    <w:p>
      <w:pPr>
        <w:spacing w:after="0" w:line="121" w:lineRule="exact"/>
        <w:rPr>
          <w:sz w:val="20"/>
          <w:szCs w:val="20"/>
          <w:color w:val="auto"/>
        </w:rPr>
      </w:pPr>
    </w:p>
    <w:p>
      <w:pPr>
        <w:ind w:right="100"/>
        <w:spacing w:after="0" w:line="255" w:lineRule="auto"/>
        <w:rPr>
          <w:sz w:val="20"/>
          <w:szCs w:val="20"/>
          <w:color w:val="auto"/>
        </w:rPr>
      </w:pPr>
      <w:r>
        <w:rPr>
          <w:rFonts w:ascii="Arial" w:cs="Arial" w:eastAsia="Arial" w:hAnsi="Arial"/>
          <w:sz w:val="18"/>
          <w:szCs w:val="18"/>
          <w:color w:val="auto"/>
        </w:rPr>
        <w:t>Represents the income tax effect for unaudited pro forma combined statement of operations adjustments related to the transaction using statutory tax rates, less any applicable valuation allowances for the year ended December 31, 2018. In addition, includes the estimated income tax effect for the historical Sirius financial results for 2018 due to the anticipated elimination of the valuation allowance on Sirius’ deferred tax assets as of January 1, 2018. Because the adjustments contained in this Unaudited Pro forma Combined Financial Information are based on estimates, the effective tax rate could vary from the effective rate in periods subsequent to the transaction. These unaudited pro forma financial statements depict an estimate of the tax impacts of the Acquisition.</w:t>
      </w:r>
    </w:p>
    <w:p>
      <w:pPr>
        <w:spacing w:after="0" w:line="12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0980"/>
          </w:cols>
          <w:pgMar w:left="440" w:top="270" w:right="479" w:bottom="1440" w:gutter="0" w:footer="0" w:header="0"/>
        </w:sectPr>
      </w:pPr>
    </w:p>
    <w:bookmarkStart w:id="47" w:name="page48"/>
    <w:bookmarkEnd w:id="47"/>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Note 8: Reclassifications</w:t>
      </w:r>
    </w:p>
    <w:p>
      <w:pPr>
        <w:spacing w:after="0" w:line="121" w:lineRule="exact"/>
        <w:rPr>
          <w:sz w:val="20"/>
          <w:szCs w:val="20"/>
          <w:color w:val="auto"/>
        </w:rPr>
      </w:pPr>
    </w:p>
    <w:p>
      <w:pPr>
        <w:ind w:right="60"/>
        <w:spacing w:after="0" w:line="264" w:lineRule="auto"/>
        <w:rPr>
          <w:sz w:val="20"/>
          <w:szCs w:val="20"/>
          <w:color w:val="auto"/>
        </w:rPr>
      </w:pPr>
      <w:r>
        <w:rPr>
          <w:rFonts w:ascii="Arial" w:cs="Arial" w:eastAsia="Arial" w:hAnsi="Arial"/>
          <w:sz w:val="18"/>
          <w:szCs w:val="18"/>
          <w:color w:val="auto"/>
        </w:rPr>
        <w:t>Forrester has completed a preliminary review of the financial statement presentation of Sirius for purposes of the Unaudited Pro Forma Combined Financial Information. During this review, the following financial statement reclassifications were performed in order to align the presentation of Sirius’ financial information with that of Forrester (amounts in thousands):</w:t>
      </w:r>
    </w:p>
    <w:p>
      <w:pPr>
        <w:spacing w:after="0" w:line="18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200" w:type="dxa"/>
            <w:vAlign w:val="bottom"/>
          </w:tcPr>
          <w:p>
            <w:pPr>
              <w:spacing w:after="0"/>
              <w:rPr>
                <w:sz w:val="14"/>
                <w:szCs w:val="14"/>
                <w:color w:val="auto"/>
              </w:rPr>
            </w:pPr>
          </w:p>
        </w:tc>
        <w:tc>
          <w:tcPr>
            <w:tcW w:w="1140" w:type="dxa"/>
            <w:vAlign w:val="bottom"/>
            <w:gridSpan w:val="4"/>
            <w:vMerge w:val="restart"/>
          </w:tcPr>
          <w:p>
            <w:pPr>
              <w:ind w:left="240"/>
              <w:spacing w:after="0"/>
              <w:rPr>
                <w:sz w:val="20"/>
                <w:szCs w:val="20"/>
                <w:color w:val="auto"/>
              </w:rPr>
            </w:pPr>
            <w:r>
              <w:rPr>
                <w:rFonts w:ascii="Arial" w:cs="Arial" w:eastAsia="Arial" w:hAnsi="Arial"/>
                <w:sz w:val="14"/>
                <w:szCs w:val="14"/>
                <w:b w:val="1"/>
                <w:bCs w:val="1"/>
                <w:color w:val="auto"/>
              </w:rPr>
              <w:t>As Reported</w:t>
            </w:r>
          </w:p>
        </w:tc>
        <w:tc>
          <w:tcPr>
            <w:tcW w:w="1200" w:type="dxa"/>
            <w:vAlign w:val="bottom"/>
            <w:gridSpan w:val="4"/>
          </w:tcPr>
          <w:p>
            <w:pPr>
              <w:ind w:left="100"/>
              <w:spacing w:after="0"/>
              <w:rPr>
                <w:sz w:val="20"/>
                <w:szCs w:val="20"/>
                <w:color w:val="auto"/>
              </w:rPr>
            </w:pPr>
            <w:r>
              <w:rPr>
                <w:rFonts w:ascii="Arial" w:cs="Arial" w:eastAsia="Arial" w:hAnsi="Arial"/>
                <w:sz w:val="14"/>
                <w:szCs w:val="14"/>
                <w:b w:val="1"/>
                <w:bCs w:val="1"/>
                <w:color w:val="auto"/>
              </w:rPr>
              <w:t>Reclassification</w:t>
            </w:r>
          </w:p>
        </w:tc>
        <w:tc>
          <w:tcPr>
            <w:tcW w:w="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3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200" w:type="dxa"/>
            <w:vAlign w:val="bottom"/>
          </w:tcPr>
          <w:p>
            <w:pPr>
              <w:spacing w:after="0"/>
              <w:rPr>
                <w:sz w:val="12"/>
                <w:szCs w:val="12"/>
                <w:color w:val="auto"/>
              </w:rPr>
            </w:pPr>
          </w:p>
        </w:tc>
        <w:tc>
          <w:tcPr>
            <w:tcW w:w="1140" w:type="dxa"/>
            <w:vAlign w:val="bottom"/>
            <w:gridSpan w:val="4"/>
            <w:vMerge w:val="continue"/>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2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88"/>
              </w:rPr>
              <w:t>and</w:t>
            </w:r>
          </w:p>
        </w:tc>
        <w:tc>
          <w:tcPr>
            <w:tcW w:w="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3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2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20" w:type="dxa"/>
            <w:vAlign w:val="bottom"/>
            <w:gridSpan w:val="2"/>
          </w:tcPr>
          <w:p>
            <w:pPr>
              <w:jc w:val="right"/>
              <w:ind w:right="220"/>
              <w:spacing w:after="0" w:line="149" w:lineRule="exact"/>
              <w:rPr>
                <w:sz w:val="20"/>
                <w:szCs w:val="20"/>
                <w:color w:val="auto"/>
              </w:rPr>
            </w:pPr>
            <w:r>
              <w:rPr>
                <w:rFonts w:ascii="Arial" w:cs="Arial" w:eastAsia="Arial" w:hAnsi="Arial"/>
                <w:sz w:val="14"/>
                <w:szCs w:val="14"/>
                <w:b w:val="1"/>
                <w:bCs w:val="1"/>
                <w:color w:val="auto"/>
                <w:w w:val="90"/>
              </w:rPr>
              <w:t>Historical</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2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93"/>
              </w:rPr>
              <w:t>Conforming</w:t>
            </w:r>
          </w:p>
        </w:tc>
        <w:tc>
          <w:tcPr>
            <w:tcW w:w="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000" w:type="dxa"/>
            <w:vAlign w:val="bottom"/>
            <w:gridSpan w:val="4"/>
            <w:vMerge w:val="restart"/>
          </w:tcPr>
          <w:p>
            <w:pPr>
              <w:ind w:left="100"/>
              <w:spacing w:after="0"/>
              <w:rPr>
                <w:sz w:val="20"/>
                <w:szCs w:val="20"/>
                <w:color w:val="auto"/>
              </w:rPr>
            </w:pPr>
            <w:r>
              <w:rPr>
                <w:rFonts w:ascii="Arial" w:cs="Arial" w:eastAsia="Arial" w:hAnsi="Arial"/>
                <w:sz w:val="14"/>
                <w:szCs w:val="14"/>
                <w:b w:val="1"/>
                <w:bCs w:val="1"/>
                <w:color w:val="auto"/>
              </w:rPr>
              <w:t>As Adjusted</w:t>
            </w:r>
          </w:p>
        </w:tc>
        <w:tc>
          <w:tcPr>
            <w:tcW w:w="3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2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20" w:type="dxa"/>
            <w:vAlign w:val="bottom"/>
            <w:gridSpan w:val="2"/>
          </w:tcPr>
          <w:p>
            <w:pPr>
              <w:jc w:val="right"/>
              <w:ind w:right="340"/>
              <w:spacing w:after="0" w:line="149" w:lineRule="exact"/>
              <w:rPr>
                <w:sz w:val="20"/>
                <w:szCs w:val="20"/>
                <w:color w:val="auto"/>
              </w:rPr>
            </w:pPr>
            <w:r>
              <w:rPr>
                <w:rFonts w:ascii="Arial" w:cs="Arial" w:eastAsia="Arial" w:hAnsi="Arial"/>
                <w:sz w:val="14"/>
                <w:szCs w:val="14"/>
                <w:b w:val="1"/>
                <w:bCs w:val="1"/>
                <w:color w:val="auto"/>
              </w:rPr>
              <w:t>Sirius</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2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92"/>
              </w:rPr>
              <w:t>Policy</w:t>
            </w:r>
          </w:p>
        </w:tc>
        <w:tc>
          <w:tcPr>
            <w:tcW w:w="380" w:type="dxa"/>
            <w:vAlign w:val="bottom"/>
            <w:gridSpan w:val="2"/>
            <w:vMerge w:val="restart"/>
          </w:tcPr>
          <w:p>
            <w:pPr>
              <w:jc w:val="center"/>
              <w:spacing w:after="0"/>
              <w:rPr>
                <w:sz w:val="20"/>
                <w:szCs w:val="20"/>
                <w:color w:val="auto"/>
              </w:rPr>
            </w:pPr>
            <w:r>
              <w:rPr>
                <w:rFonts w:ascii="Arial" w:cs="Arial" w:eastAsia="Arial" w:hAnsi="Arial"/>
                <w:sz w:val="14"/>
                <w:szCs w:val="14"/>
                <w:b w:val="1"/>
                <w:bCs w:val="1"/>
                <w:color w:val="auto"/>
                <w:w w:val="89"/>
              </w:rPr>
              <w:t>Note</w:t>
            </w:r>
          </w:p>
        </w:tc>
        <w:tc>
          <w:tcPr>
            <w:tcW w:w="1000" w:type="dxa"/>
            <w:vAlign w:val="bottom"/>
            <w:gridSpan w:val="4"/>
            <w:vMerge w:val="continue"/>
          </w:tcPr>
          <w:p>
            <w:pPr>
              <w:spacing w:after="0"/>
              <w:rPr>
                <w:sz w:val="12"/>
                <w:szCs w:val="12"/>
                <w:color w:val="auto"/>
              </w:rPr>
            </w:pPr>
          </w:p>
        </w:tc>
        <w:tc>
          <w:tcPr>
            <w:tcW w:w="3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42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00" w:type="dxa"/>
            <w:vAlign w:val="bottom"/>
            <w:gridSpan w:val="3"/>
          </w:tcPr>
          <w:p>
            <w:pPr>
              <w:spacing w:after="0"/>
              <w:rPr>
                <w:sz w:val="20"/>
                <w:szCs w:val="20"/>
                <w:color w:val="auto"/>
              </w:rPr>
            </w:pPr>
            <w:r>
              <w:rPr>
                <w:rFonts w:ascii="Arial" w:cs="Arial" w:eastAsia="Arial" w:hAnsi="Arial"/>
                <w:sz w:val="14"/>
                <w:szCs w:val="14"/>
                <w:b w:val="1"/>
                <w:bCs w:val="1"/>
                <w:color w:val="auto"/>
              </w:rPr>
              <w:t>(Unaudited)</w:t>
            </w: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2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1"/>
              </w:rPr>
              <w:t>Adjustments</w:t>
            </w:r>
          </w:p>
        </w:tc>
        <w:tc>
          <w:tcPr>
            <w:tcW w:w="380" w:type="dxa"/>
            <w:vAlign w:val="bottom"/>
            <w:gridSpan w:val="2"/>
            <w:vMerge w:val="continue"/>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60" w:type="dxa"/>
            <w:vAlign w:val="bottom"/>
            <w:gridSpan w:val="2"/>
          </w:tcPr>
          <w:p>
            <w:pPr>
              <w:jc w:val="right"/>
              <w:ind w:right="340"/>
              <w:spacing w:after="0"/>
              <w:rPr>
                <w:sz w:val="20"/>
                <w:szCs w:val="20"/>
                <w:color w:val="auto"/>
              </w:rPr>
            </w:pPr>
            <w:r>
              <w:rPr>
                <w:rFonts w:ascii="Arial" w:cs="Arial" w:eastAsia="Arial" w:hAnsi="Arial"/>
                <w:sz w:val="14"/>
                <w:szCs w:val="14"/>
                <w:b w:val="1"/>
                <w:bCs w:val="1"/>
                <w:color w:val="auto"/>
              </w:rPr>
              <w:t>Sirius</w:t>
            </w:r>
          </w:p>
        </w:tc>
        <w:tc>
          <w:tcPr>
            <w:tcW w:w="3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420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Assets</w:t>
            </w:r>
          </w:p>
        </w:tc>
        <w:tc>
          <w:tcPr>
            <w:tcW w:w="24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17"/>
                <w:szCs w:val="17"/>
                <w:color w:val="auto"/>
              </w:rPr>
            </w:pPr>
          </w:p>
        </w:tc>
        <w:tc>
          <w:tcPr>
            <w:tcW w:w="70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17"/>
                <w:szCs w:val="17"/>
                <w:color w:val="auto"/>
              </w:rPr>
            </w:pPr>
          </w:p>
        </w:tc>
        <w:tc>
          <w:tcPr>
            <w:tcW w:w="880" w:type="dxa"/>
            <w:vAlign w:val="bottom"/>
            <w:tcBorders>
              <w:top w:val="single" w:sz="8" w:color="auto"/>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30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620" w:type="dxa"/>
            <w:vAlign w:val="bottom"/>
            <w:tcBorders>
              <w:top w:val="single" w:sz="8" w:color="auto"/>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3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00" w:type="dxa"/>
            <w:vAlign w:val="bottom"/>
          </w:tcPr>
          <w:p>
            <w:pPr>
              <w:spacing w:after="0"/>
              <w:rPr>
                <w:sz w:val="20"/>
                <w:szCs w:val="20"/>
                <w:color w:val="auto"/>
              </w:rPr>
            </w:pPr>
            <w:r>
              <w:rPr>
                <w:rFonts w:ascii="Arial" w:cs="Arial" w:eastAsia="Arial" w:hAnsi="Arial"/>
                <w:sz w:val="18"/>
                <w:szCs w:val="18"/>
                <w:b w:val="1"/>
                <w:bCs w:val="1"/>
                <w:color w:val="auto"/>
              </w:rPr>
              <w:t>Current Assets:</w:t>
            </w: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00" w:type="dxa"/>
            <w:vAlign w:val="bottom"/>
            <w:shd w:val="clear" w:color="auto" w:fill="CCEEFF"/>
          </w:tcPr>
          <w:p>
            <w:pPr>
              <w:spacing w:after="0"/>
              <w:rPr>
                <w:sz w:val="20"/>
                <w:szCs w:val="20"/>
                <w:color w:val="auto"/>
              </w:rPr>
            </w:pPr>
            <w:r>
              <w:rPr>
                <w:rFonts w:ascii="Arial" w:cs="Arial" w:eastAsia="Arial" w:hAnsi="Arial"/>
                <w:sz w:val="18"/>
                <w:szCs w:val="18"/>
                <w:color w:val="auto"/>
              </w:rPr>
              <w:t>Cash and cash equivalents</w:t>
            </w:r>
          </w:p>
        </w:tc>
        <w:tc>
          <w:tcPr>
            <w:tcW w:w="32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w w:val="79"/>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7,205</w:t>
            </w:r>
          </w:p>
        </w:tc>
        <w:tc>
          <w:tcPr>
            <w:tcW w:w="120" w:type="dxa"/>
            <w:vAlign w:val="bottom"/>
            <w:shd w:val="clear" w:color="auto" w:fill="CCEEFF"/>
          </w:tcPr>
          <w:p>
            <w:pPr>
              <w:spacing w:after="0"/>
              <w:rPr>
                <w:sz w:val="18"/>
                <w:szCs w:val="18"/>
                <w:color w:val="auto"/>
              </w:rPr>
            </w:pPr>
          </w:p>
        </w:tc>
        <w:tc>
          <w:tcPr>
            <w:tcW w:w="18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w w:val="79"/>
              </w:rPr>
              <w:t>$</w:t>
            </w:r>
          </w:p>
        </w:tc>
        <w:tc>
          <w:tcPr>
            <w:tcW w:w="1020" w:type="dxa"/>
            <w:vAlign w:val="bottom"/>
            <w:gridSpan w:val="2"/>
            <w:shd w:val="clear" w:color="auto" w:fill="CCEEFF"/>
          </w:tcPr>
          <w:p>
            <w:pPr>
              <w:ind w:left="60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4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7,205</w:t>
            </w:r>
          </w:p>
        </w:tc>
        <w:tc>
          <w:tcPr>
            <w:tcW w:w="140" w:type="dxa"/>
            <w:vAlign w:val="bottom"/>
            <w:shd w:val="clear" w:color="auto" w:fill="CCEEFF"/>
          </w:tcPr>
          <w:p>
            <w:pPr>
              <w:spacing w:after="0"/>
              <w:rPr>
                <w:sz w:val="18"/>
                <w:szCs w:val="18"/>
                <w:color w:val="auto"/>
              </w:rPr>
            </w:pPr>
          </w:p>
        </w:tc>
        <w:tc>
          <w:tcPr>
            <w:tcW w:w="3100" w:type="dxa"/>
            <w:vAlign w:val="bottom"/>
            <w:shd w:val="clear" w:color="auto" w:fill="CCEEFF"/>
          </w:tcPr>
          <w:p>
            <w:pPr>
              <w:ind w:left="80"/>
              <w:spacing w:after="0"/>
              <w:rPr>
                <w:sz w:val="20"/>
                <w:szCs w:val="20"/>
                <w:color w:val="auto"/>
              </w:rPr>
            </w:pPr>
            <w:r>
              <w:rPr>
                <w:rFonts w:ascii="Arial" w:cs="Arial" w:eastAsia="Arial" w:hAnsi="Arial"/>
                <w:sz w:val="18"/>
                <w:szCs w:val="18"/>
                <w:color w:val="auto"/>
              </w:rPr>
              <w:t>Cash and cash equivalents</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00" w:type="dxa"/>
            <w:vAlign w:val="bottom"/>
          </w:tcPr>
          <w:p>
            <w:pPr>
              <w:spacing w:after="0"/>
              <w:rPr>
                <w:sz w:val="20"/>
                <w:szCs w:val="20"/>
                <w:color w:val="auto"/>
              </w:rPr>
            </w:pPr>
            <w:r>
              <w:rPr>
                <w:rFonts w:ascii="Arial" w:cs="Arial" w:eastAsia="Arial" w:hAnsi="Arial"/>
                <w:sz w:val="18"/>
                <w:szCs w:val="18"/>
                <w:color w:val="auto"/>
              </w:rPr>
              <w:t>Accounts receivable, net</w:t>
            </w: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13,037</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20" w:type="dxa"/>
            <w:vAlign w:val="bottom"/>
            <w:gridSpan w:val="2"/>
          </w:tcPr>
          <w:p>
            <w:pPr>
              <w:ind w:left="60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13,037</w:t>
            </w:r>
          </w:p>
        </w:tc>
        <w:tc>
          <w:tcPr>
            <w:tcW w:w="140" w:type="dxa"/>
            <w:vAlign w:val="bottom"/>
          </w:tcPr>
          <w:p>
            <w:pPr>
              <w:spacing w:after="0"/>
              <w:rPr>
                <w:sz w:val="18"/>
                <w:szCs w:val="18"/>
                <w:color w:val="auto"/>
              </w:rPr>
            </w:pPr>
          </w:p>
        </w:tc>
        <w:tc>
          <w:tcPr>
            <w:tcW w:w="3100" w:type="dxa"/>
            <w:vAlign w:val="bottom"/>
          </w:tcPr>
          <w:p>
            <w:pPr>
              <w:ind w:left="80"/>
              <w:spacing w:after="0"/>
              <w:rPr>
                <w:sz w:val="20"/>
                <w:szCs w:val="20"/>
                <w:color w:val="auto"/>
              </w:rPr>
            </w:pPr>
            <w:r>
              <w:rPr>
                <w:rFonts w:ascii="Arial" w:cs="Arial" w:eastAsia="Arial" w:hAnsi="Arial"/>
                <w:sz w:val="18"/>
                <w:szCs w:val="18"/>
                <w:color w:val="auto"/>
              </w:rPr>
              <w:t>Accounts receivable, net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00" w:type="dxa"/>
            <w:vAlign w:val="bottom"/>
            <w:shd w:val="clear" w:color="auto" w:fill="CCEEFF"/>
          </w:tcPr>
          <w:p>
            <w:pPr>
              <w:spacing w:after="0"/>
              <w:rPr>
                <w:sz w:val="20"/>
                <w:szCs w:val="20"/>
                <w:color w:val="auto"/>
              </w:rPr>
            </w:pPr>
            <w:r>
              <w:rPr>
                <w:rFonts w:ascii="Arial" w:cs="Arial" w:eastAsia="Arial" w:hAnsi="Arial"/>
                <w:sz w:val="18"/>
                <w:szCs w:val="18"/>
                <w:color w:val="auto"/>
              </w:rPr>
              <w:t>Deferred commissions</w:t>
            </w:r>
          </w:p>
        </w:tc>
        <w:tc>
          <w:tcPr>
            <w:tcW w:w="2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80" w:type="dxa"/>
            <w:vAlign w:val="bottom"/>
            <w:shd w:val="clear" w:color="auto" w:fill="CCEEFF"/>
          </w:tcPr>
          <w:p>
            <w:pPr>
              <w:ind w:left="600"/>
              <w:spacing w:after="0"/>
              <w:rPr>
                <w:sz w:val="20"/>
                <w:szCs w:val="20"/>
                <w:color w:val="auto"/>
              </w:rPr>
            </w:pPr>
            <w:r>
              <w:rPr>
                <w:rFonts w:ascii="Arial" w:cs="Arial" w:eastAsia="Arial" w:hAnsi="Arial"/>
                <w:sz w:val="18"/>
                <w:szCs w:val="18"/>
                <w:color w:val="auto"/>
                <w:w w:val="86"/>
              </w:rPr>
              <w:t>662</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79"/>
              </w:rPr>
              <w:t>a</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662</w:t>
            </w:r>
          </w:p>
        </w:tc>
        <w:tc>
          <w:tcPr>
            <w:tcW w:w="140" w:type="dxa"/>
            <w:vAlign w:val="bottom"/>
            <w:shd w:val="clear" w:color="auto" w:fill="CCEEFF"/>
          </w:tcPr>
          <w:p>
            <w:pPr>
              <w:spacing w:after="0"/>
              <w:rPr>
                <w:sz w:val="18"/>
                <w:szCs w:val="18"/>
                <w:color w:val="auto"/>
              </w:rPr>
            </w:pPr>
          </w:p>
        </w:tc>
        <w:tc>
          <w:tcPr>
            <w:tcW w:w="3100" w:type="dxa"/>
            <w:vAlign w:val="bottom"/>
            <w:shd w:val="clear" w:color="auto" w:fill="CCEEFF"/>
          </w:tcPr>
          <w:p>
            <w:pPr>
              <w:ind w:left="80"/>
              <w:spacing w:after="0"/>
              <w:rPr>
                <w:sz w:val="20"/>
                <w:szCs w:val="20"/>
                <w:color w:val="auto"/>
              </w:rPr>
            </w:pPr>
            <w:r>
              <w:rPr>
                <w:rFonts w:ascii="Arial" w:cs="Arial" w:eastAsia="Arial" w:hAnsi="Arial"/>
                <w:sz w:val="18"/>
                <w:szCs w:val="18"/>
                <w:color w:val="auto"/>
              </w:rPr>
              <w:t>Deferred commissions</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200" w:type="dxa"/>
            <w:vAlign w:val="bottom"/>
          </w:tcPr>
          <w:p>
            <w:pPr>
              <w:spacing w:after="0"/>
              <w:rPr>
                <w:sz w:val="20"/>
                <w:szCs w:val="20"/>
                <w:color w:val="auto"/>
              </w:rPr>
            </w:pPr>
            <w:r>
              <w:rPr>
                <w:rFonts w:ascii="Arial" w:cs="Arial" w:eastAsia="Arial" w:hAnsi="Arial"/>
                <w:sz w:val="18"/>
                <w:szCs w:val="18"/>
                <w:color w:val="auto"/>
              </w:rPr>
              <w:t>Prepaid expenses and other current assets</w:t>
            </w:r>
          </w:p>
        </w:tc>
        <w:tc>
          <w:tcPr>
            <w:tcW w:w="2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2,693</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20" w:type="dxa"/>
            <w:vAlign w:val="bottom"/>
            <w:gridSpan w:val="2"/>
          </w:tcPr>
          <w:p>
            <w:pPr>
              <w:jc w:val="right"/>
              <w:ind w:right="80"/>
              <w:spacing w:after="0"/>
              <w:rPr>
                <w:sz w:val="20"/>
                <w:szCs w:val="20"/>
                <w:color w:val="auto"/>
              </w:rPr>
            </w:pPr>
            <w:r>
              <w:rPr>
                <w:rFonts w:ascii="Arial" w:cs="Arial" w:eastAsia="Arial" w:hAnsi="Arial"/>
                <w:sz w:val="18"/>
                <w:szCs w:val="18"/>
                <w:color w:val="auto"/>
              </w:rPr>
              <w:t>(347)</w:t>
            </w:r>
          </w:p>
        </w:tc>
        <w:tc>
          <w:tcPr>
            <w:tcW w:w="80" w:type="dxa"/>
            <w:vAlign w:val="bottom"/>
          </w:tcPr>
          <w:p>
            <w:pPr>
              <w:spacing w:after="0"/>
              <w:rPr>
                <w:sz w:val="19"/>
                <w:szCs w:val="19"/>
                <w:color w:val="auto"/>
              </w:rPr>
            </w:pPr>
          </w:p>
        </w:tc>
        <w:tc>
          <w:tcPr>
            <w:tcW w:w="300" w:type="dxa"/>
            <w:vAlign w:val="bottom"/>
          </w:tcPr>
          <w:p>
            <w:pPr>
              <w:jc w:val="center"/>
              <w:spacing w:after="0"/>
              <w:rPr>
                <w:sz w:val="20"/>
                <w:szCs w:val="20"/>
                <w:color w:val="auto"/>
              </w:rPr>
            </w:pPr>
            <w:r>
              <w:rPr>
                <w:rFonts w:ascii="Arial" w:cs="Arial" w:eastAsia="Arial" w:hAnsi="Arial"/>
                <w:sz w:val="18"/>
                <w:szCs w:val="18"/>
                <w:color w:val="auto"/>
                <w:w w:val="79"/>
              </w:rPr>
              <w:t>a</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2,346</w:t>
            </w:r>
          </w:p>
        </w:tc>
        <w:tc>
          <w:tcPr>
            <w:tcW w:w="140" w:type="dxa"/>
            <w:vAlign w:val="bottom"/>
          </w:tcPr>
          <w:p>
            <w:pPr>
              <w:spacing w:after="0"/>
              <w:rPr>
                <w:sz w:val="19"/>
                <w:szCs w:val="19"/>
                <w:color w:val="auto"/>
              </w:rPr>
            </w:pPr>
          </w:p>
        </w:tc>
        <w:tc>
          <w:tcPr>
            <w:tcW w:w="3100" w:type="dxa"/>
            <w:vAlign w:val="bottom"/>
          </w:tcPr>
          <w:p>
            <w:pPr>
              <w:ind w:left="80"/>
              <w:spacing w:after="0"/>
              <w:rPr>
                <w:sz w:val="20"/>
                <w:szCs w:val="20"/>
                <w:color w:val="auto"/>
              </w:rPr>
            </w:pPr>
            <w:r>
              <w:rPr>
                <w:rFonts w:ascii="Arial" w:cs="Arial" w:eastAsia="Arial" w:hAnsi="Arial"/>
                <w:sz w:val="18"/>
                <w:szCs w:val="18"/>
                <w:color w:val="auto"/>
                <w:w w:val="87"/>
              </w:rPr>
              <w:t>Prepaid expenses and other current assets</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00" w:type="dxa"/>
            <w:vAlign w:val="bottom"/>
            <w:shd w:val="clear" w:color="auto" w:fill="CCEEFF"/>
          </w:tcPr>
          <w:p>
            <w:pPr>
              <w:ind w:left="340"/>
              <w:spacing w:after="0"/>
              <w:rPr>
                <w:sz w:val="20"/>
                <w:szCs w:val="20"/>
                <w:color w:val="auto"/>
              </w:rPr>
            </w:pPr>
            <w:r>
              <w:rPr>
                <w:rFonts w:ascii="Arial" w:cs="Arial" w:eastAsia="Arial" w:hAnsi="Arial"/>
                <w:sz w:val="18"/>
                <w:szCs w:val="18"/>
                <w:b w:val="1"/>
                <w:bCs w:val="1"/>
                <w:color w:val="auto"/>
              </w:rPr>
              <w:t>Total current assets</w:t>
            </w:r>
          </w:p>
        </w:tc>
        <w:tc>
          <w:tcPr>
            <w:tcW w:w="240" w:type="dxa"/>
            <w:vAlign w:val="bottom"/>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22,935</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ind w:left="600"/>
              <w:spacing w:after="0"/>
              <w:rPr>
                <w:sz w:val="20"/>
                <w:szCs w:val="20"/>
                <w:color w:val="auto"/>
              </w:rPr>
            </w:pPr>
            <w:r>
              <w:rPr>
                <w:rFonts w:ascii="Arial" w:cs="Arial" w:eastAsia="Arial" w:hAnsi="Arial"/>
                <w:sz w:val="18"/>
                <w:szCs w:val="18"/>
                <w:b w:val="1"/>
                <w:bCs w:val="1"/>
                <w:color w:val="auto"/>
                <w:w w:val="86"/>
              </w:rPr>
              <w:t>315</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6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23,250</w:t>
            </w:r>
          </w:p>
        </w:tc>
        <w:tc>
          <w:tcPr>
            <w:tcW w:w="140" w:type="dxa"/>
            <w:vAlign w:val="bottom"/>
            <w:shd w:val="clear" w:color="auto" w:fill="CCEEFF"/>
          </w:tcPr>
          <w:p>
            <w:pPr>
              <w:spacing w:after="0"/>
              <w:rPr>
                <w:sz w:val="18"/>
                <w:szCs w:val="18"/>
                <w:color w:val="auto"/>
              </w:rPr>
            </w:pPr>
          </w:p>
        </w:tc>
        <w:tc>
          <w:tcPr>
            <w:tcW w:w="3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00" w:type="dxa"/>
            <w:vAlign w:val="bottom"/>
          </w:tcPr>
          <w:p>
            <w:pPr>
              <w:spacing w:after="0"/>
              <w:rPr>
                <w:sz w:val="20"/>
                <w:szCs w:val="20"/>
                <w:color w:val="auto"/>
              </w:rPr>
            </w:pPr>
            <w:r>
              <w:rPr>
                <w:rFonts w:ascii="Arial" w:cs="Arial" w:eastAsia="Arial" w:hAnsi="Arial"/>
                <w:sz w:val="18"/>
                <w:szCs w:val="18"/>
                <w:color w:val="auto"/>
              </w:rPr>
              <w:t>Property and equipment, net</w:t>
            </w: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4,080</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20" w:type="dxa"/>
            <w:vAlign w:val="bottom"/>
            <w:gridSpan w:val="2"/>
          </w:tcPr>
          <w:p>
            <w:pPr>
              <w:jc w:val="right"/>
              <w:ind w:right="80"/>
              <w:spacing w:after="0"/>
              <w:rPr>
                <w:sz w:val="20"/>
                <w:szCs w:val="20"/>
                <w:color w:val="auto"/>
              </w:rPr>
            </w:pPr>
            <w:r>
              <w:rPr>
                <w:rFonts w:ascii="Arial" w:cs="Arial" w:eastAsia="Arial" w:hAnsi="Arial"/>
                <w:sz w:val="18"/>
                <w:szCs w:val="18"/>
                <w:color w:val="auto"/>
              </w:rPr>
              <w:t>(939)</w:t>
            </w:r>
          </w:p>
        </w:tc>
        <w:tc>
          <w:tcPr>
            <w:tcW w:w="80" w:type="dxa"/>
            <w:vAlign w:val="bottom"/>
          </w:tcPr>
          <w:p>
            <w:pPr>
              <w:spacing w:after="0"/>
              <w:rPr>
                <w:sz w:val="18"/>
                <w:szCs w:val="18"/>
                <w:color w:val="auto"/>
              </w:rPr>
            </w:pPr>
          </w:p>
        </w:tc>
        <w:tc>
          <w:tcPr>
            <w:tcW w:w="300" w:type="dxa"/>
            <w:vAlign w:val="bottom"/>
          </w:tcPr>
          <w:p>
            <w:pPr>
              <w:jc w:val="center"/>
              <w:spacing w:after="0"/>
              <w:rPr>
                <w:sz w:val="20"/>
                <w:szCs w:val="20"/>
                <w:color w:val="auto"/>
              </w:rPr>
            </w:pPr>
            <w:r>
              <w:rPr>
                <w:rFonts w:ascii="Arial" w:cs="Arial" w:eastAsia="Arial" w:hAnsi="Arial"/>
                <w:sz w:val="18"/>
                <w:szCs w:val="18"/>
                <w:color w:val="auto"/>
                <w:w w:val="79"/>
              </w:rPr>
              <w:t>b</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3,141</w:t>
            </w:r>
          </w:p>
        </w:tc>
        <w:tc>
          <w:tcPr>
            <w:tcW w:w="140" w:type="dxa"/>
            <w:vAlign w:val="bottom"/>
          </w:tcPr>
          <w:p>
            <w:pPr>
              <w:spacing w:after="0"/>
              <w:rPr>
                <w:sz w:val="18"/>
                <w:szCs w:val="18"/>
                <w:color w:val="auto"/>
              </w:rPr>
            </w:pPr>
          </w:p>
        </w:tc>
        <w:tc>
          <w:tcPr>
            <w:tcW w:w="3100" w:type="dxa"/>
            <w:vAlign w:val="bottom"/>
          </w:tcPr>
          <w:p>
            <w:pPr>
              <w:ind w:left="80"/>
              <w:spacing w:after="0"/>
              <w:rPr>
                <w:sz w:val="20"/>
                <w:szCs w:val="20"/>
                <w:color w:val="auto"/>
              </w:rPr>
            </w:pPr>
            <w:r>
              <w:rPr>
                <w:rFonts w:ascii="Arial" w:cs="Arial" w:eastAsia="Arial" w:hAnsi="Arial"/>
                <w:sz w:val="18"/>
                <w:szCs w:val="18"/>
                <w:color w:val="auto"/>
              </w:rPr>
              <w:t>Property and equipment, net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00" w:type="dxa"/>
            <w:vAlign w:val="bottom"/>
            <w:shd w:val="clear" w:color="auto" w:fill="CCEEFF"/>
          </w:tcPr>
          <w:p>
            <w:pPr>
              <w:spacing w:after="0"/>
              <w:rPr>
                <w:sz w:val="20"/>
                <w:szCs w:val="20"/>
                <w:color w:val="auto"/>
              </w:rPr>
            </w:pPr>
            <w:r>
              <w:rPr>
                <w:rFonts w:ascii="Arial" w:cs="Arial" w:eastAsia="Arial" w:hAnsi="Arial"/>
                <w:sz w:val="18"/>
                <w:szCs w:val="18"/>
                <w:color w:val="auto"/>
              </w:rPr>
              <w:t>Intangible assets, net</w:t>
            </w:r>
          </w:p>
        </w:tc>
        <w:tc>
          <w:tcPr>
            <w:tcW w:w="2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80" w:type="dxa"/>
            <w:vAlign w:val="bottom"/>
            <w:shd w:val="clear" w:color="auto" w:fill="CCEEFF"/>
          </w:tcPr>
          <w:p>
            <w:pPr>
              <w:ind w:left="600"/>
              <w:spacing w:after="0"/>
              <w:rPr>
                <w:sz w:val="20"/>
                <w:szCs w:val="20"/>
                <w:color w:val="auto"/>
              </w:rPr>
            </w:pPr>
            <w:r>
              <w:rPr>
                <w:rFonts w:ascii="Arial" w:cs="Arial" w:eastAsia="Arial" w:hAnsi="Arial"/>
                <w:sz w:val="18"/>
                <w:szCs w:val="18"/>
                <w:color w:val="auto"/>
                <w:w w:val="86"/>
              </w:rPr>
              <w:t>939</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79"/>
              </w:rPr>
              <w:t>b</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939</w:t>
            </w:r>
          </w:p>
        </w:tc>
        <w:tc>
          <w:tcPr>
            <w:tcW w:w="140" w:type="dxa"/>
            <w:vAlign w:val="bottom"/>
            <w:shd w:val="clear" w:color="auto" w:fill="CCEEFF"/>
          </w:tcPr>
          <w:p>
            <w:pPr>
              <w:spacing w:after="0"/>
              <w:rPr>
                <w:sz w:val="18"/>
                <w:szCs w:val="18"/>
                <w:color w:val="auto"/>
              </w:rPr>
            </w:pPr>
          </w:p>
        </w:tc>
        <w:tc>
          <w:tcPr>
            <w:tcW w:w="3100" w:type="dxa"/>
            <w:vAlign w:val="bottom"/>
            <w:shd w:val="clear" w:color="auto" w:fill="CCEEFF"/>
          </w:tcPr>
          <w:p>
            <w:pPr>
              <w:ind w:left="80"/>
              <w:spacing w:after="0"/>
              <w:rPr>
                <w:sz w:val="20"/>
                <w:szCs w:val="20"/>
                <w:color w:val="auto"/>
              </w:rPr>
            </w:pPr>
            <w:r>
              <w:rPr>
                <w:rFonts w:ascii="Arial" w:cs="Arial" w:eastAsia="Arial" w:hAnsi="Arial"/>
                <w:sz w:val="18"/>
                <w:szCs w:val="18"/>
                <w:color w:val="auto"/>
              </w:rPr>
              <w:t>Intangible assets, net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00" w:type="dxa"/>
            <w:vAlign w:val="bottom"/>
          </w:tcPr>
          <w:p>
            <w:pPr>
              <w:spacing w:after="0"/>
              <w:rPr>
                <w:sz w:val="20"/>
                <w:szCs w:val="20"/>
                <w:color w:val="auto"/>
              </w:rPr>
            </w:pPr>
            <w:r>
              <w:rPr>
                <w:rFonts w:ascii="Arial" w:cs="Arial" w:eastAsia="Arial" w:hAnsi="Arial"/>
                <w:sz w:val="18"/>
                <w:szCs w:val="18"/>
                <w:color w:val="auto"/>
              </w:rPr>
              <w:t>Other assets</w:t>
            </w: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584</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20" w:type="dxa"/>
            <w:vAlign w:val="bottom"/>
            <w:gridSpan w:val="2"/>
          </w:tcPr>
          <w:p>
            <w:pPr>
              <w:jc w:val="right"/>
              <w:ind w:right="80"/>
              <w:spacing w:after="0"/>
              <w:rPr>
                <w:sz w:val="20"/>
                <w:szCs w:val="20"/>
                <w:color w:val="auto"/>
              </w:rPr>
            </w:pPr>
            <w:r>
              <w:rPr>
                <w:rFonts w:ascii="Arial" w:cs="Arial" w:eastAsia="Arial" w:hAnsi="Arial"/>
                <w:sz w:val="18"/>
                <w:szCs w:val="18"/>
                <w:color w:val="auto"/>
              </w:rPr>
              <w:t>(315)</w:t>
            </w:r>
          </w:p>
        </w:tc>
        <w:tc>
          <w:tcPr>
            <w:tcW w:w="80" w:type="dxa"/>
            <w:vAlign w:val="bottom"/>
          </w:tcPr>
          <w:p>
            <w:pPr>
              <w:spacing w:after="0"/>
              <w:rPr>
                <w:sz w:val="18"/>
                <w:szCs w:val="18"/>
                <w:color w:val="auto"/>
              </w:rPr>
            </w:pPr>
          </w:p>
        </w:tc>
        <w:tc>
          <w:tcPr>
            <w:tcW w:w="300" w:type="dxa"/>
            <w:vAlign w:val="bottom"/>
          </w:tcPr>
          <w:p>
            <w:pPr>
              <w:jc w:val="center"/>
              <w:spacing w:after="0"/>
              <w:rPr>
                <w:sz w:val="20"/>
                <w:szCs w:val="20"/>
                <w:color w:val="auto"/>
              </w:rPr>
            </w:pPr>
            <w:r>
              <w:rPr>
                <w:rFonts w:ascii="Arial" w:cs="Arial" w:eastAsia="Arial" w:hAnsi="Arial"/>
                <w:sz w:val="18"/>
                <w:szCs w:val="18"/>
                <w:color w:val="auto"/>
                <w:w w:val="79"/>
              </w:rPr>
              <w:t>a</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269</w:t>
            </w:r>
          </w:p>
        </w:tc>
        <w:tc>
          <w:tcPr>
            <w:tcW w:w="140" w:type="dxa"/>
            <w:vAlign w:val="bottom"/>
          </w:tcPr>
          <w:p>
            <w:pPr>
              <w:spacing w:after="0"/>
              <w:rPr>
                <w:sz w:val="18"/>
                <w:szCs w:val="18"/>
                <w:color w:val="auto"/>
              </w:rPr>
            </w:pPr>
          </w:p>
        </w:tc>
        <w:tc>
          <w:tcPr>
            <w:tcW w:w="3100" w:type="dxa"/>
            <w:vAlign w:val="bottom"/>
          </w:tcPr>
          <w:p>
            <w:pPr>
              <w:ind w:left="80"/>
              <w:spacing w:after="0"/>
              <w:rPr>
                <w:sz w:val="20"/>
                <w:szCs w:val="20"/>
                <w:color w:val="auto"/>
              </w:rPr>
            </w:pPr>
            <w:r>
              <w:rPr>
                <w:rFonts w:ascii="Arial" w:cs="Arial" w:eastAsia="Arial" w:hAnsi="Arial"/>
                <w:sz w:val="18"/>
                <w:szCs w:val="18"/>
                <w:color w:val="auto"/>
              </w:rPr>
              <w:t>Other assets</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42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3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4200" w:type="dxa"/>
            <w:vAlign w:val="bottom"/>
            <w:shd w:val="clear" w:color="auto" w:fill="CCEEFF"/>
          </w:tcPr>
          <w:p>
            <w:pPr>
              <w:ind w:left="340"/>
              <w:spacing w:after="0"/>
              <w:rPr>
                <w:sz w:val="20"/>
                <w:szCs w:val="20"/>
                <w:color w:val="auto"/>
              </w:rPr>
            </w:pPr>
            <w:r>
              <w:rPr>
                <w:rFonts w:ascii="Arial" w:cs="Arial" w:eastAsia="Arial" w:hAnsi="Arial"/>
                <w:sz w:val="18"/>
                <w:szCs w:val="18"/>
                <w:b w:val="1"/>
                <w:bCs w:val="1"/>
                <w:color w:val="auto"/>
              </w:rPr>
              <w:t>Total assets</w:t>
            </w:r>
          </w:p>
        </w:tc>
        <w:tc>
          <w:tcPr>
            <w:tcW w:w="320" w:type="dxa"/>
            <w:vAlign w:val="bottom"/>
            <w:gridSpan w:val="2"/>
            <w:shd w:val="clear" w:color="auto" w:fill="CCEEFF"/>
          </w:tcPr>
          <w:p>
            <w:pPr>
              <w:ind w:left="220"/>
              <w:spacing w:after="0"/>
              <w:rPr>
                <w:sz w:val="20"/>
                <w:szCs w:val="20"/>
                <w:color w:val="auto"/>
              </w:rPr>
            </w:pPr>
            <w:r>
              <w:rPr>
                <w:rFonts w:ascii="Arial" w:cs="Arial" w:eastAsia="Arial" w:hAnsi="Arial"/>
                <w:sz w:val="18"/>
                <w:szCs w:val="18"/>
                <w:b w:val="1"/>
                <w:bCs w:val="1"/>
                <w:color w:val="auto"/>
                <w:w w:val="79"/>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27,599</w:t>
            </w:r>
          </w:p>
        </w:tc>
        <w:tc>
          <w:tcPr>
            <w:tcW w:w="120" w:type="dxa"/>
            <w:vAlign w:val="bottom"/>
            <w:shd w:val="clear" w:color="auto" w:fill="CCEEFF"/>
          </w:tcPr>
          <w:p>
            <w:pPr>
              <w:spacing w:after="0"/>
              <w:rPr>
                <w:sz w:val="18"/>
                <w:szCs w:val="18"/>
                <w:color w:val="auto"/>
              </w:rPr>
            </w:pPr>
          </w:p>
        </w:tc>
        <w:tc>
          <w:tcPr>
            <w:tcW w:w="180" w:type="dxa"/>
            <w:vAlign w:val="bottom"/>
            <w:gridSpan w:val="2"/>
            <w:shd w:val="clear" w:color="auto" w:fill="CCEEFF"/>
          </w:tcPr>
          <w:p>
            <w:pPr>
              <w:ind w:left="80"/>
              <w:spacing w:after="0"/>
              <w:rPr>
                <w:sz w:val="20"/>
                <w:szCs w:val="20"/>
                <w:color w:val="auto"/>
              </w:rPr>
            </w:pPr>
            <w:r>
              <w:rPr>
                <w:rFonts w:ascii="Arial" w:cs="Arial" w:eastAsia="Arial" w:hAnsi="Arial"/>
                <w:sz w:val="18"/>
                <w:szCs w:val="18"/>
                <w:b w:val="1"/>
                <w:bCs w:val="1"/>
                <w:color w:val="auto"/>
                <w:w w:val="79"/>
              </w:rPr>
              <w:t>$</w:t>
            </w:r>
          </w:p>
        </w:tc>
        <w:tc>
          <w:tcPr>
            <w:tcW w:w="1020" w:type="dxa"/>
            <w:vAlign w:val="bottom"/>
            <w:gridSpan w:val="2"/>
            <w:shd w:val="clear" w:color="auto" w:fill="CCEEFF"/>
          </w:tcPr>
          <w:p>
            <w:pPr>
              <w:ind w:left="600"/>
              <w:spacing w:after="0"/>
              <w:rPr>
                <w:sz w:val="20"/>
                <w:szCs w:val="20"/>
                <w:color w:val="auto"/>
              </w:rPr>
            </w:pPr>
            <w:r>
              <w:rPr>
                <w:rFonts w:ascii="Arial" w:cs="Arial" w:eastAsia="Arial" w:hAnsi="Arial"/>
                <w:sz w:val="18"/>
                <w:szCs w:val="18"/>
                <w:b w:val="1"/>
                <w:bCs w:val="1"/>
                <w:color w:val="auto"/>
              </w:rPr>
              <w:t>—</w:t>
            </w:r>
          </w:p>
        </w:tc>
        <w:tc>
          <w:tcPr>
            <w:tcW w:w="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40" w:type="dxa"/>
            <w:vAlign w:val="bottom"/>
            <w:gridSpan w:val="2"/>
            <w:shd w:val="clear" w:color="auto" w:fill="CCEEFF"/>
          </w:tcPr>
          <w:p>
            <w:pPr>
              <w:ind w:left="100"/>
              <w:spacing w:after="0"/>
              <w:rPr>
                <w:sz w:val="20"/>
                <w:szCs w:val="20"/>
                <w:color w:val="auto"/>
              </w:rPr>
            </w:pPr>
            <w:r>
              <w:rPr>
                <w:rFonts w:ascii="Arial" w:cs="Arial" w:eastAsia="Arial" w:hAnsi="Arial"/>
                <w:sz w:val="18"/>
                <w:szCs w:val="18"/>
                <w:b w:val="1"/>
                <w:bCs w:val="1"/>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27,599</w:t>
            </w:r>
          </w:p>
        </w:tc>
        <w:tc>
          <w:tcPr>
            <w:tcW w:w="140" w:type="dxa"/>
            <w:vAlign w:val="bottom"/>
            <w:shd w:val="clear" w:color="auto" w:fill="CCEEFF"/>
          </w:tcPr>
          <w:p>
            <w:pPr>
              <w:spacing w:after="0"/>
              <w:rPr>
                <w:sz w:val="18"/>
                <w:szCs w:val="18"/>
                <w:color w:val="auto"/>
              </w:rPr>
            </w:pPr>
          </w:p>
        </w:tc>
        <w:tc>
          <w:tcPr>
            <w:tcW w:w="3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22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Liabilities. Convertible Preferred Stock and</w:t>
            </w:r>
          </w:p>
        </w:tc>
        <w:tc>
          <w:tcPr>
            <w:tcW w:w="2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2"/>
        </w:trPr>
        <w:tc>
          <w:tcPr>
            <w:tcW w:w="4220" w:type="dxa"/>
            <w:vAlign w:val="bottom"/>
            <w:gridSpan w:val="2"/>
            <w:vMerge w:val="continue"/>
          </w:tcPr>
          <w:p>
            <w:pPr>
              <w:spacing w:after="0"/>
              <w:rPr>
                <w:sz w:val="16"/>
                <w:szCs w:val="16"/>
                <w:color w:val="auto"/>
              </w:rPr>
            </w:pPr>
          </w:p>
        </w:tc>
        <w:tc>
          <w:tcPr>
            <w:tcW w:w="2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3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00" w:type="dxa"/>
            <w:vAlign w:val="bottom"/>
          </w:tcPr>
          <w:p>
            <w:pPr>
              <w:ind w:left="160"/>
              <w:spacing w:after="0"/>
              <w:rPr>
                <w:sz w:val="20"/>
                <w:szCs w:val="20"/>
                <w:color w:val="auto"/>
              </w:rPr>
            </w:pPr>
            <w:r>
              <w:rPr>
                <w:rFonts w:ascii="Arial" w:cs="Arial" w:eastAsia="Arial" w:hAnsi="Arial"/>
                <w:sz w:val="18"/>
                <w:szCs w:val="18"/>
                <w:b w:val="1"/>
                <w:bCs w:val="1"/>
                <w:color w:val="auto"/>
              </w:rPr>
              <w:t>Stockholders’ Deficiency</w:t>
            </w: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4220" w:type="dxa"/>
            <w:vAlign w:val="bottom"/>
            <w:gridSpan w:val="2"/>
          </w:tcPr>
          <w:p>
            <w:pPr>
              <w:spacing w:after="0"/>
              <w:rPr>
                <w:sz w:val="20"/>
                <w:szCs w:val="20"/>
                <w:color w:val="auto"/>
              </w:rPr>
            </w:pPr>
            <w:r>
              <w:rPr>
                <w:rFonts w:ascii="Arial" w:cs="Arial" w:eastAsia="Arial" w:hAnsi="Arial"/>
                <w:sz w:val="18"/>
                <w:szCs w:val="18"/>
                <w:b w:val="1"/>
                <w:bCs w:val="1"/>
                <w:color w:val="auto"/>
              </w:rPr>
              <w:t>Current Liabilities:</w:t>
            </w:r>
          </w:p>
        </w:tc>
        <w:tc>
          <w:tcPr>
            <w:tcW w:w="2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3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200" w:type="dxa"/>
            <w:vAlign w:val="bottom"/>
            <w:shd w:val="clear" w:color="auto" w:fill="CCEEFF"/>
          </w:tcPr>
          <w:p>
            <w:pPr>
              <w:spacing w:after="0"/>
              <w:rPr>
                <w:sz w:val="20"/>
                <w:szCs w:val="20"/>
                <w:color w:val="auto"/>
              </w:rPr>
            </w:pPr>
            <w:r>
              <w:rPr>
                <w:rFonts w:ascii="Arial" w:cs="Arial" w:eastAsia="Arial" w:hAnsi="Arial"/>
                <w:sz w:val="18"/>
                <w:szCs w:val="18"/>
                <w:color w:val="auto"/>
              </w:rPr>
              <w:t>Accounts payable</w:t>
            </w:r>
          </w:p>
        </w:tc>
        <w:tc>
          <w:tcPr>
            <w:tcW w:w="32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w w:val="79"/>
              </w:rPr>
              <w:t>$</w:t>
            </w:r>
          </w:p>
        </w:tc>
        <w:tc>
          <w:tcPr>
            <w:tcW w:w="8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w w:val="79"/>
              </w:rPr>
              <w:t>$</w:t>
            </w:r>
          </w:p>
        </w:tc>
        <w:tc>
          <w:tcPr>
            <w:tcW w:w="880" w:type="dxa"/>
            <w:vAlign w:val="bottom"/>
            <w:shd w:val="clear" w:color="auto" w:fill="CCEEFF"/>
          </w:tcPr>
          <w:p>
            <w:pPr>
              <w:ind w:left="600"/>
              <w:spacing w:after="0"/>
              <w:rPr>
                <w:sz w:val="20"/>
                <w:szCs w:val="20"/>
                <w:color w:val="auto"/>
              </w:rPr>
            </w:pPr>
            <w:r>
              <w:rPr>
                <w:rFonts w:ascii="Arial" w:cs="Arial" w:eastAsia="Arial" w:hAnsi="Arial"/>
                <w:sz w:val="18"/>
                <w:szCs w:val="18"/>
                <w:color w:val="auto"/>
                <w:w w:val="86"/>
              </w:rPr>
              <w:t>648</w:t>
            </w:r>
          </w:p>
        </w:tc>
        <w:tc>
          <w:tcPr>
            <w:tcW w:w="1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8"/>
              </w:rPr>
              <w:t>c</w:t>
            </w:r>
          </w:p>
        </w:tc>
        <w:tc>
          <w:tcPr>
            <w:tcW w:w="24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648</w:t>
            </w:r>
          </w:p>
        </w:tc>
        <w:tc>
          <w:tcPr>
            <w:tcW w:w="140" w:type="dxa"/>
            <w:vAlign w:val="bottom"/>
            <w:shd w:val="clear" w:color="auto" w:fill="CCEEFF"/>
          </w:tcPr>
          <w:p>
            <w:pPr>
              <w:spacing w:after="0"/>
              <w:rPr>
                <w:sz w:val="19"/>
                <w:szCs w:val="19"/>
                <w:color w:val="auto"/>
              </w:rPr>
            </w:pPr>
          </w:p>
        </w:tc>
        <w:tc>
          <w:tcPr>
            <w:tcW w:w="3100" w:type="dxa"/>
            <w:vAlign w:val="bottom"/>
            <w:shd w:val="clear" w:color="auto" w:fill="CCEEFF"/>
          </w:tcPr>
          <w:p>
            <w:pPr>
              <w:ind w:left="80"/>
              <w:spacing w:after="0"/>
              <w:rPr>
                <w:sz w:val="20"/>
                <w:szCs w:val="20"/>
                <w:color w:val="auto"/>
              </w:rPr>
            </w:pPr>
            <w:r>
              <w:rPr>
                <w:rFonts w:ascii="Arial" w:cs="Arial" w:eastAsia="Arial" w:hAnsi="Arial"/>
                <w:sz w:val="18"/>
                <w:szCs w:val="18"/>
                <w:color w:val="auto"/>
              </w:rPr>
              <w:t>Accounts payable</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4200" w:type="dxa"/>
            <w:vAlign w:val="bottom"/>
          </w:tcPr>
          <w:p>
            <w:pPr>
              <w:spacing w:after="0" w:line="201" w:lineRule="exact"/>
              <w:rPr>
                <w:sz w:val="20"/>
                <w:szCs w:val="20"/>
                <w:color w:val="auto"/>
              </w:rPr>
            </w:pPr>
            <w:r>
              <w:rPr>
                <w:rFonts w:ascii="Arial" w:cs="Arial" w:eastAsia="Arial" w:hAnsi="Arial"/>
                <w:sz w:val="18"/>
                <w:szCs w:val="18"/>
                <w:color w:val="auto"/>
              </w:rPr>
              <w:t>Accrued expenses and other current liabilities</w:t>
            </w:r>
          </w:p>
        </w:tc>
        <w:tc>
          <w:tcPr>
            <w:tcW w:w="2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100" w:type="dxa"/>
            <w:vAlign w:val="bottom"/>
          </w:tcPr>
          <w:p>
            <w:pPr>
              <w:ind w:left="80"/>
              <w:spacing w:after="0" w:line="201" w:lineRule="exact"/>
              <w:rPr>
                <w:sz w:val="20"/>
                <w:szCs w:val="20"/>
                <w:color w:val="auto"/>
              </w:rPr>
            </w:pPr>
            <w:r>
              <w:rPr>
                <w:rFonts w:ascii="Arial" w:cs="Arial" w:eastAsia="Arial" w:hAnsi="Arial"/>
                <w:sz w:val="18"/>
                <w:szCs w:val="18"/>
                <w:color w:val="auto"/>
              </w:rPr>
              <w:t>Accrued expenses and other current</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2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8,377</w:t>
            </w: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00" w:type="dxa"/>
            <w:vAlign w:val="bottom"/>
          </w:tcPr>
          <w:p>
            <w:pPr>
              <w:jc w:val="center"/>
              <w:spacing w:after="0"/>
              <w:rPr>
                <w:sz w:val="20"/>
                <w:szCs w:val="20"/>
                <w:color w:val="auto"/>
              </w:rPr>
            </w:pPr>
            <w:r>
              <w:rPr>
                <w:rFonts w:ascii="Arial" w:cs="Arial" w:eastAsia="Arial" w:hAnsi="Arial"/>
                <w:sz w:val="18"/>
                <w:szCs w:val="18"/>
                <w:color w:val="auto"/>
                <w:w w:val="88"/>
              </w:rPr>
              <w:t>c</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8,377</w:t>
            </w:r>
          </w:p>
        </w:tc>
        <w:tc>
          <w:tcPr>
            <w:tcW w:w="140" w:type="dxa"/>
            <w:vAlign w:val="bottom"/>
          </w:tcPr>
          <w:p>
            <w:pPr>
              <w:spacing w:after="0"/>
              <w:rPr>
                <w:sz w:val="20"/>
                <w:szCs w:val="20"/>
                <w:color w:val="auto"/>
              </w:rPr>
            </w:pPr>
          </w:p>
        </w:tc>
        <w:tc>
          <w:tcPr>
            <w:tcW w:w="3100" w:type="dxa"/>
            <w:vAlign w:val="bottom"/>
          </w:tcPr>
          <w:p>
            <w:pPr>
              <w:ind w:left="260"/>
              <w:spacing w:after="0"/>
              <w:rPr>
                <w:sz w:val="20"/>
                <w:szCs w:val="20"/>
                <w:color w:val="auto"/>
              </w:rPr>
            </w:pPr>
            <w:r>
              <w:rPr>
                <w:rFonts w:ascii="Arial" w:cs="Arial" w:eastAsia="Arial" w:hAnsi="Arial"/>
                <w:sz w:val="18"/>
                <w:szCs w:val="18"/>
                <w:color w:val="auto"/>
              </w:rPr>
              <w:t>liabilities</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00" w:type="dxa"/>
            <w:vAlign w:val="bottom"/>
            <w:shd w:val="clear" w:color="auto" w:fill="CCEEFF"/>
          </w:tcPr>
          <w:p>
            <w:pPr>
              <w:spacing w:after="0"/>
              <w:rPr>
                <w:sz w:val="20"/>
                <w:szCs w:val="20"/>
                <w:color w:val="auto"/>
              </w:rPr>
            </w:pPr>
            <w:r>
              <w:rPr>
                <w:rFonts w:ascii="Arial" w:cs="Arial" w:eastAsia="Arial" w:hAnsi="Arial"/>
                <w:sz w:val="18"/>
                <w:szCs w:val="18"/>
                <w:color w:val="auto"/>
              </w:rPr>
              <w:t>Accounts payable and accrued expense</w:t>
            </w:r>
          </w:p>
        </w:tc>
        <w:tc>
          <w:tcPr>
            <w:tcW w:w="2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9,025</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(9,025)</w:t>
            </w:r>
          </w:p>
        </w:tc>
        <w:tc>
          <w:tcPr>
            <w:tcW w:w="80" w:type="dxa"/>
            <w:vAlign w:val="bottom"/>
            <w:shd w:val="clear" w:color="auto" w:fill="CCEEFF"/>
          </w:tcPr>
          <w:p>
            <w:pPr>
              <w:spacing w:after="0"/>
              <w:rPr>
                <w:sz w:val="18"/>
                <w:szCs w:val="18"/>
                <w:color w:val="auto"/>
              </w:rPr>
            </w:pPr>
          </w:p>
        </w:tc>
        <w:tc>
          <w:tcPr>
            <w:tcW w:w="3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8"/>
              </w:rPr>
              <w:t>c</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3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200" w:type="dxa"/>
            <w:vAlign w:val="bottom"/>
          </w:tcPr>
          <w:p>
            <w:pPr>
              <w:spacing w:after="0"/>
              <w:rPr>
                <w:sz w:val="20"/>
                <w:szCs w:val="20"/>
                <w:color w:val="auto"/>
              </w:rPr>
            </w:pPr>
            <w:r>
              <w:rPr>
                <w:rFonts w:ascii="Arial" w:cs="Arial" w:eastAsia="Arial" w:hAnsi="Arial"/>
                <w:sz w:val="18"/>
                <w:szCs w:val="18"/>
                <w:color w:val="auto"/>
              </w:rPr>
              <w:t>Deferred revenue</w:t>
            </w:r>
          </w:p>
        </w:tc>
        <w:tc>
          <w:tcPr>
            <w:tcW w:w="24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29,489</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ind w:left="60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29,489</w:t>
            </w:r>
          </w:p>
        </w:tc>
        <w:tc>
          <w:tcPr>
            <w:tcW w:w="140" w:type="dxa"/>
            <w:vAlign w:val="bottom"/>
          </w:tcPr>
          <w:p>
            <w:pPr>
              <w:spacing w:after="0"/>
              <w:rPr>
                <w:sz w:val="19"/>
                <w:szCs w:val="19"/>
                <w:color w:val="auto"/>
              </w:rPr>
            </w:pPr>
          </w:p>
        </w:tc>
        <w:tc>
          <w:tcPr>
            <w:tcW w:w="3100" w:type="dxa"/>
            <w:vAlign w:val="bottom"/>
          </w:tcPr>
          <w:p>
            <w:pPr>
              <w:ind w:left="80"/>
              <w:spacing w:after="0"/>
              <w:rPr>
                <w:sz w:val="20"/>
                <w:szCs w:val="20"/>
                <w:color w:val="auto"/>
              </w:rPr>
            </w:pPr>
            <w:r>
              <w:rPr>
                <w:rFonts w:ascii="Arial" w:cs="Arial" w:eastAsia="Arial" w:hAnsi="Arial"/>
                <w:sz w:val="18"/>
                <w:szCs w:val="18"/>
                <w:color w:val="auto"/>
              </w:rPr>
              <w:t>Deferred revenue</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00" w:type="dxa"/>
            <w:vAlign w:val="bottom"/>
            <w:shd w:val="clear" w:color="auto" w:fill="CCEEFF"/>
          </w:tcPr>
          <w:p>
            <w:pPr>
              <w:ind w:left="340"/>
              <w:spacing w:after="0"/>
              <w:rPr>
                <w:sz w:val="20"/>
                <w:szCs w:val="20"/>
                <w:color w:val="auto"/>
              </w:rPr>
            </w:pPr>
            <w:r>
              <w:rPr>
                <w:rFonts w:ascii="Arial" w:cs="Arial" w:eastAsia="Arial" w:hAnsi="Arial"/>
                <w:sz w:val="18"/>
                <w:szCs w:val="18"/>
                <w:b w:val="1"/>
                <w:bCs w:val="1"/>
                <w:color w:val="auto"/>
              </w:rPr>
              <w:t>Total current liabilities</w:t>
            </w:r>
          </w:p>
        </w:tc>
        <w:tc>
          <w:tcPr>
            <w:tcW w:w="2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38,514</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ind w:left="60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38,514</w:t>
            </w:r>
          </w:p>
        </w:tc>
        <w:tc>
          <w:tcPr>
            <w:tcW w:w="140" w:type="dxa"/>
            <w:vAlign w:val="bottom"/>
            <w:shd w:val="clear" w:color="auto" w:fill="CCEEFF"/>
          </w:tcPr>
          <w:p>
            <w:pPr>
              <w:spacing w:after="0"/>
              <w:rPr>
                <w:sz w:val="18"/>
                <w:szCs w:val="18"/>
                <w:color w:val="auto"/>
              </w:rPr>
            </w:pPr>
          </w:p>
        </w:tc>
        <w:tc>
          <w:tcPr>
            <w:tcW w:w="3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00" w:type="dxa"/>
            <w:vAlign w:val="bottom"/>
          </w:tcPr>
          <w:p>
            <w:pPr>
              <w:spacing w:after="0"/>
              <w:rPr>
                <w:sz w:val="20"/>
                <w:szCs w:val="20"/>
                <w:color w:val="auto"/>
              </w:rPr>
            </w:pPr>
            <w:r>
              <w:rPr>
                <w:rFonts w:ascii="Arial" w:cs="Arial" w:eastAsia="Arial" w:hAnsi="Arial"/>
                <w:sz w:val="18"/>
                <w:szCs w:val="18"/>
                <w:color w:val="auto"/>
              </w:rPr>
              <w:t>Deferred revenue—noncurrent</w:t>
            </w: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1,037</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20" w:type="dxa"/>
            <w:vAlign w:val="bottom"/>
            <w:gridSpan w:val="2"/>
          </w:tcPr>
          <w:p>
            <w:pPr>
              <w:jc w:val="right"/>
              <w:ind w:right="80"/>
              <w:spacing w:after="0"/>
              <w:rPr>
                <w:sz w:val="20"/>
                <w:szCs w:val="20"/>
                <w:color w:val="auto"/>
              </w:rPr>
            </w:pPr>
            <w:r>
              <w:rPr>
                <w:rFonts w:ascii="Arial" w:cs="Arial" w:eastAsia="Arial" w:hAnsi="Arial"/>
                <w:sz w:val="18"/>
                <w:szCs w:val="18"/>
                <w:color w:val="auto"/>
              </w:rPr>
              <w:t>(1,037)</w:t>
            </w:r>
          </w:p>
        </w:tc>
        <w:tc>
          <w:tcPr>
            <w:tcW w:w="80" w:type="dxa"/>
            <w:vAlign w:val="bottom"/>
          </w:tcPr>
          <w:p>
            <w:pPr>
              <w:spacing w:after="0"/>
              <w:rPr>
                <w:sz w:val="18"/>
                <w:szCs w:val="18"/>
                <w:color w:val="auto"/>
              </w:rPr>
            </w:pPr>
          </w:p>
        </w:tc>
        <w:tc>
          <w:tcPr>
            <w:tcW w:w="300" w:type="dxa"/>
            <w:vAlign w:val="bottom"/>
          </w:tcPr>
          <w:p>
            <w:pPr>
              <w:jc w:val="center"/>
              <w:spacing w:after="0"/>
              <w:rPr>
                <w:sz w:val="20"/>
                <w:szCs w:val="20"/>
                <w:color w:val="auto"/>
              </w:rPr>
            </w:pPr>
            <w:r>
              <w:rPr>
                <w:rFonts w:ascii="Arial" w:cs="Arial" w:eastAsia="Arial" w:hAnsi="Arial"/>
                <w:sz w:val="18"/>
                <w:szCs w:val="18"/>
                <w:color w:val="auto"/>
                <w:w w:val="79"/>
              </w:rPr>
              <w:t>d</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3100" w:type="dxa"/>
            <w:vAlign w:val="bottom"/>
          </w:tcPr>
          <w:p>
            <w:pPr>
              <w:ind w:left="80"/>
              <w:spacing w:after="0"/>
              <w:rPr>
                <w:sz w:val="20"/>
                <w:szCs w:val="20"/>
                <w:color w:val="auto"/>
              </w:rPr>
            </w:pPr>
            <w:r>
              <w:rPr>
                <w:rFonts w:ascii="Arial" w:cs="Arial" w:eastAsia="Arial" w:hAnsi="Arial"/>
                <w:sz w:val="18"/>
                <w:szCs w:val="18"/>
                <w:color w:val="auto"/>
              </w:rPr>
              <w:t>Deferred revenue—noncurrent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00" w:type="dxa"/>
            <w:vAlign w:val="bottom"/>
            <w:shd w:val="clear" w:color="auto" w:fill="CCEEFF"/>
          </w:tcPr>
          <w:p>
            <w:pPr>
              <w:spacing w:after="0"/>
              <w:rPr>
                <w:sz w:val="20"/>
                <w:szCs w:val="20"/>
                <w:color w:val="auto"/>
              </w:rPr>
            </w:pPr>
            <w:r>
              <w:rPr>
                <w:rFonts w:ascii="Arial" w:cs="Arial" w:eastAsia="Arial" w:hAnsi="Arial"/>
                <w:sz w:val="18"/>
                <w:szCs w:val="18"/>
                <w:color w:val="auto"/>
              </w:rPr>
              <w:t>Deferred rent and other non-current liabilities</w:t>
            </w:r>
          </w:p>
        </w:tc>
        <w:tc>
          <w:tcPr>
            <w:tcW w:w="2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1,598</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(1,598)</w:t>
            </w:r>
          </w:p>
        </w:tc>
        <w:tc>
          <w:tcPr>
            <w:tcW w:w="80" w:type="dxa"/>
            <w:vAlign w:val="bottom"/>
            <w:shd w:val="clear" w:color="auto" w:fill="CCEEFF"/>
          </w:tcPr>
          <w:p>
            <w:pPr>
              <w:spacing w:after="0"/>
              <w:rPr>
                <w:sz w:val="18"/>
                <w:szCs w:val="18"/>
                <w:color w:val="auto"/>
              </w:rPr>
            </w:pPr>
          </w:p>
        </w:tc>
        <w:tc>
          <w:tcPr>
            <w:tcW w:w="3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79"/>
              </w:rPr>
              <w:t>d</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3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200" w:type="dxa"/>
            <w:vAlign w:val="bottom"/>
          </w:tcPr>
          <w:p>
            <w:pPr>
              <w:spacing w:after="0"/>
              <w:rPr>
                <w:sz w:val="20"/>
                <w:szCs w:val="20"/>
                <w:color w:val="auto"/>
              </w:rPr>
            </w:pPr>
            <w:r>
              <w:rPr>
                <w:rFonts w:ascii="Arial" w:cs="Arial" w:eastAsia="Arial" w:hAnsi="Arial"/>
                <w:sz w:val="18"/>
                <w:szCs w:val="18"/>
                <w:color w:val="auto"/>
              </w:rPr>
              <w:t>Non-current liabilities</w:t>
            </w:r>
          </w:p>
        </w:tc>
        <w:tc>
          <w:tcPr>
            <w:tcW w:w="24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2,635</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00" w:type="dxa"/>
            <w:vAlign w:val="bottom"/>
          </w:tcPr>
          <w:p>
            <w:pPr>
              <w:jc w:val="center"/>
              <w:spacing w:after="0"/>
              <w:rPr>
                <w:sz w:val="20"/>
                <w:szCs w:val="20"/>
                <w:color w:val="auto"/>
              </w:rPr>
            </w:pPr>
            <w:r>
              <w:rPr>
                <w:rFonts w:ascii="Arial" w:cs="Arial" w:eastAsia="Arial" w:hAnsi="Arial"/>
                <w:sz w:val="18"/>
                <w:szCs w:val="18"/>
                <w:color w:val="auto"/>
                <w:w w:val="79"/>
              </w:rPr>
              <w:t>d</w:t>
            </w:r>
          </w:p>
        </w:tc>
        <w:tc>
          <w:tcPr>
            <w:tcW w:w="10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2,635</w:t>
            </w:r>
          </w:p>
        </w:tc>
        <w:tc>
          <w:tcPr>
            <w:tcW w:w="140" w:type="dxa"/>
            <w:vAlign w:val="bottom"/>
          </w:tcPr>
          <w:p>
            <w:pPr>
              <w:spacing w:after="0"/>
              <w:rPr>
                <w:sz w:val="19"/>
                <w:szCs w:val="19"/>
                <w:color w:val="auto"/>
              </w:rPr>
            </w:pPr>
          </w:p>
        </w:tc>
        <w:tc>
          <w:tcPr>
            <w:tcW w:w="3100" w:type="dxa"/>
            <w:vAlign w:val="bottom"/>
          </w:tcPr>
          <w:p>
            <w:pPr>
              <w:ind w:left="80"/>
              <w:spacing w:after="0"/>
              <w:rPr>
                <w:sz w:val="20"/>
                <w:szCs w:val="20"/>
                <w:color w:val="auto"/>
              </w:rPr>
            </w:pPr>
            <w:r>
              <w:rPr>
                <w:rFonts w:ascii="Arial" w:cs="Arial" w:eastAsia="Arial" w:hAnsi="Arial"/>
                <w:sz w:val="18"/>
                <w:szCs w:val="18"/>
                <w:color w:val="auto"/>
              </w:rPr>
              <w:t>Non-current liabilities</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00" w:type="dxa"/>
            <w:vAlign w:val="bottom"/>
            <w:shd w:val="clear" w:color="auto" w:fill="CCEEFF"/>
          </w:tcPr>
          <w:p>
            <w:pPr>
              <w:ind w:left="340"/>
              <w:spacing w:after="0"/>
              <w:rPr>
                <w:sz w:val="20"/>
                <w:szCs w:val="20"/>
                <w:color w:val="auto"/>
              </w:rPr>
            </w:pPr>
            <w:r>
              <w:rPr>
                <w:rFonts w:ascii="Arial" w:cs="Arial" w:eastAsia="Arial" w:hAnsi="Arial"/>
                <w:sz w:val="18"/>
                <w:szCs w:val="18"/>
                <w:b w:val="1"/>
                <w:bCs w:val="1"/>
                <w:color w:val="auto"/>
              </w:rPr>
              <w:t>Total liabilities</w:t>
            </w:r>
          </w:p>
        </w:tc>
        <w:tc>
          <w:tcPr>
            <w:tcW w:w="2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41,149</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ind w:left="60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41,149</w:t>
            </w:r>
          </w:p>
        </w:tc>
        <w:tc>
          <w:tcPr>
            <w:tcW w:w="140" w:type="dxa"/>
            <w:vAlign w:val="bottom"/>
            <w:shd w:val="clear" w:color="auto" w:fill="CCEEFF"/>
          </w:tcPr>
          <w:p>
            <w:pPr>
              <w:spacing w:after="0"/>
              <w:rPr>
                <w:sz w:val="18"/>
                <w:szCs w:val="18"/>
                <w:color w:val="auto"/>
              </w:rPr>
            </w:pPr>
          </w:p>
        </w:tc>
        <w:tc>
          <w:tcPr>
            <w:tcW w:w="3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4220" w:type="dxa"/>
            <w:vAlign w:val="bottom"/>
            <w:gridSpan w:val="2"/>
          </w:tcPr>
          <w:p>
            <w:pPr>
              <w:spacing w:after="0"/>
              <w:rPr>
                <w:sz w:val="20"/>
                <w:szCs w:val="20"/>
                <w:color w:val="auto"/>
              </w:rPr>
            </w:pPr>
            <w:r>
              <w:rPr>
                <w:rFonts w:ascii="Arial" w:cs="Arial" w:eastAsia="Arial" w:hAnsi="Arial"/>
                <w:sz w:val="18"/>
                <w:szCs w:val="18"/>
                <w:color w:val="auto"/>
              </w:rPr>
              <w:t>Convertible preferred stock</w:t>
            </w:r>
          </w:p>
        </w:tc>
        <w:tc>
          <w:tcPr>
            <w:tcW w:w="24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7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81,631</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880" w:type="dxa"/>
            <w:vAlign w:val="bottom"/>
            <w:tcBorders>
              <w:top w:val="single" w:sz="8" w:color="auto"/>
            </w:tcBorders>
          </w:tcPr>
          <w:p>
            <w:pPr>
              <w:ind w:left="60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6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81,631</w:t>
            </w:r>
          </w:p>
        </w:tc>
        <w:tc>
          <w:tcPr>
            <w:tcW w:w="140" w:type="dxa"/>
            <w:vAlign w:val="bottom"/>
          </w:tcPr>
          <w:p>
            <w:pPr>
              <w:spacing w:after="0"/>
              <w:rPr>
                <w:sz w:val="19"/>
                <w:szCs w:val="19"/>
                <w:color w:val="auto"/>
              </w:rPr>
            </w:pPr>
          </w:p>
        </w:tc>
        <w:tc>
          <w:tcPr>
            <w:tcW w:w="3100" w:type="dxa"/>
            <w:vAlign w:val="bottom"/>
          </w:tcPr>
          <w:p>
            <w:pPr>
              <w:ind w:left="80"/>
              <w:spacing w:after="0"/>
              <w:rPr>
                <w:sz w:val="20"/>
                <w:szCs w:val="20"/>
                <w:color w:val="auto"/>
              </w:rPr>
            </w:pPr>
            <w:r>
              <w:rPr>
                <w:rFonts w:ascii="Arial" w:cs="Arial" w:eastAsia="Arial" w:hAnsi="Arial"/>
                <w:sz w:val="18"/>
                <w:szCs w:val="18"/>
                <w:color w:val="auto"/>
              </w:rPr>
              <w:t>Convertible preferred stock</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Stockholders’ Deficiency:</w:t>
            </w:r>
          </w:p>
        </w:tc>
        <w:tc>
          <w:tcPr>
            <w:tcW w:w="2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3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00" w:type="dxa"/>
            <w:vAlign w:val="bottom"/>
          </w:tcPr>
          <w:p>
            <w:pPr>
              <w:spacing w:after="0"/>
              <w:rPr>
                <w:sz w:val="20"/>
                <w:szCs w:val="20"/>
                <w:color w:val="auto"/>
              </w:rPr>
            </w:pPr>
            <w:r>
              <w:rPr>
                <w:rFonts w:ascii="Arial" w:cs="Arial" w:eastAsia="Arial" w:hAnsi="Arial"/>
                <w:sz w:val="18"/>
                <w:szCs w:val="18"/>
                <w:color w:val="auto"/>
              </w:rPr>
              <w:t>Common stock</w:t>
            </w: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31</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20" w:type="dxa"/>
            <w:vAlign w:val="bottom"/>
            <w:gridSpan w:val="2"/>
          </w:tcPr>
          <w:p>
            <w:pPr>
              <w:ind w:left="60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31</w:t>
            </w:r>
          </w:p>
        </w:tc>
        <w:tc>
          <w:tcPr>
            <w:tcW w:w="140" w:type="dxa"/>
            <w:vAlign w:val="bottom"/>
          </w:tcPr>
          <w:p>
            <w:pPr>
              <w:spacing w:after="0"/>
              <w:rPr>
                <w:sz w:val="18"/>
                <w:szCs w:val="18"/>
                <w:color w:val="auto"/>
              </w:rPr>
            </w:pPr>
          </w:p>
        </w:tc>
        <w:tc>
          <w:tcPr>
            <w:tcW w:w="3100" w:type="dxa"/>
            <w:vAlign w:val="bottom"/>
          </w:tcPr>
          <w:p>
            <w:pPr>
              <w:ind w:left="80"/>
              <w:spacing w:after="0"/>
              <w:rPr>
                <w:sz w:val="20"/>
                <w:szCs w:val="20"/>
                <w:color w:val="auto"/>
              </w:rPr>
            </w:pPr>
            <w:r>
              <w:rPr>
                <w:rFonts w:ascii="Arial" w:cs="Arial" w:eastAsia="Arial" w:hAnsi="Arial"/>
                <w:sz w:val="18"/>
                <w:szCs w:val="18"/>
                <w:color w:val="auto"/>
              </w:rPr>
              <w:t>Common stock</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00" w:type="dxa"/>
            <w:vAlign w:val="bottom"/>
            <w:shd w:val="clear" w:color="auto" w:fill="CCEEFF"/>
          </w:tcPr>
          <w:p>
            <w:pPr>
              <w:spacing w:after="0"/>
              <w:rPr>
                <w:sz w:val="20"/>
                <w:szCs w:val="20"/>
                <w:color w:val="auto"/>
              </w:rPr>
            </w:pPr>
            <w:r>
              <w:rPr>
                <w:rFonts w:ascii="Arial" w:cs="Arial" w:eastAsia="Arial" w:hAnsi="Arial"/>
                <w:sz w:val="18"/>
                <w:szCs w:val="18"/>
                <w:color w:val="auto"/>
              </w:rPr>
              <w:t>Additional paid-in capital</w:t>
            </w:r>
          </w:p>
        </w:tc>
        <w:tc>
          <w:tcPr>
            <w:tcW w:w="2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ind w:left="60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3100" w:type="dxa"/>
            <w:vAlign w:val="bottom"/>
            <w:shd w:val="clear" w:color="auto" w:fill="CCEEFF"/>
          </w:tcPr>
          <w:p>
            <w:pPr>
              <w:ind w:left="80"/>
              <w:spacing w:after="0"/>
              <w:rPr>
                <w:sz w:val="20"/>
                <w:szCs w:val="20"/>
                <w:color w:val="auto"/>
              </w:rPr>
            </w:pPr>
            <w:r>
              <w:rPr>
                <w:rFonts w:ascii="Arial" w:cs="Arial" w:eastAsia="Arial" w:hAnsi="Arial"/>
                <w:sz w:val="18"/>
                <w:szCs w:val="18"/>
                <w:color w:val="auto"/>
              </w:rPr>
              <w:t>Additional paid-in capital</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00" w:type="dxa"/>
            <w:vAlign w:val="bottom"/>
          </w:tcPr>
          <w:p>
            <w:pPr>
              <w:spacing w:after="0"/>
              <w:rPr>
                <w:sz w:val="20"/>
                <w:szCs w:val="20"/>
                <w:color w:val="auto"/>
              </w:rPr>
            </w:pPr>
            <w:r>
              <w:rPr>
                <w:rFonts w:ascii="Arial" w:cs="Arial" w:eastAsia="Arial" w:hAnsi="Arial"/>
                <w:sz w:val="18"/>
                <w:szCs w:val="18"/>
                <w:color w:val="auto"/>
              </w:rPr>
              <w:t>Accumulated deficit</w:t>
            </w: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gridSpan w:val="2"/>
          </w:tcPr>
          <w:p>
            <w:pPr>
              <w:jc w:val="right"/>
              <w:ind w:right="60"/>
              <w:spacing w:after="0"/>
              <w:rPr>
                <w:sz w:val="20"/>
                <w:szCs w:val="20"/>
                <w:color w:val="auto"/>
              </w:rPr>
            </w:pPr>
            <w:r>
              <w:rPr>
                <w:rFonts w:ascii="Arial" w:cs="Arial" w:eastAsia="Arial" w:hAnsi="Arial"/>
                <w:sz w:val="18"/>
                <w:szCs w:val="18"/>
                <w:color w:val="auto"/>
              </w:rPr>
              <w:t>(95,324)</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20" w:type="dxa"/>
            <w:vAlign w:val="bottom"/>
            <w:gridSpan w:val="2"/>
          </w:tcPr>
          <w:p>
            <w:pPr>
              <w:ind w:left="60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gridSpan w:val="2"/>
          </w:tcPr>
          <w:p>
            <w:pPr>
              <w:jc w:val="right"/>
              <w:ind w:right="80"/>
              <w:spacing w:after="0"/>
              <w:rPr>
                <w:sz w:val="20"/>
                <w:szCs w:val="20"/>
                <w:color w:val="auto"/>
              </w:rPr>
            </w:pPr>
            <w:r>
              <w:rPr>
                <w:rFonts w:ascii="Arial" w:cs="Arial" w:eastAsia="Arial" w:hAnsi="Arial"/>
                <w:sz w:val="18"/>
                <w:szCs w:val="18"/>
                <w:color w:val="auto"/>
                <w:w w:val="98"/>
              </w:rPr>
              <w:t>(95,324)</w:t>
            </w:r>
          </w:p>
        </w:tc>
        <w:tc>
          <w:tcPr>
            <w:tcW w:w="3100" w:type="dxa"/>
            <w:vAlign w:val="bottom"/>
          </w:tcPr>
          <w:p>
            <w:pPr>
              <w:ind w:left="80"/>
              <w:spacing w:after="0"/>
              <w:rPr>
                <w:sz w:val="20"/>
                <w:szCs w:val="20"/>
                <w:color w:val="auto"/>
              </w:rPr>
            </w:pPr>
            <w:r>
              <w:rPr>
                <w:rFonts w:ascii="Arial" w:cs="Arial" w:eastAsia="Arial" w:hAnsi="Arial"/>
                <w:sz w:val="18"/>
                <w:szCs w:val="18"/>
                <w:color w:val="auto"/>
              </w:rPr>
              <w:t>Retained earnings</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00" w:type="dxa"/>
            <w:vAlign w:val="bottom"/>
            <w:shd w:val="clear" w:color="auto" w:fill="CCEEFF"/>
          </w:tcPr>
          <w:p>
            <w:pPr>
              <w:spacing w:after="0"/>
              <w:rPr>
                <w:sz w:val="20"/>
                <w:szCs w:val="20"/>
                <w:color w:val="auto"/>
              </w:rPr>
            </w:pPr>
            <w:r>
              <w:rPr>
                <w:rFonts w:ascii="Arial" w:cs="Arial" w:eastAsia="Arial" w:hAnsi="Arial"/>
                <w:sz w:val="18"/>
                <w:szCs w:val="18"/>
                <w:color w:val="auto"/>
              </w:rPr>
              <w:t>Accumulated other comprehensive income</w:t>
            </w:r>
          </w:p>
        </w:tc>
        <w:tc>
          <w:tcPr>
            <w:tcW w:w="2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112</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ind w:left="60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112</w:t>
            </w:r>
          </w:p>
        </w:tc>
        <w:tc>
          <w:tcPr>
            <w:tcW w:w="140" w:type="dxa"/>
            <w:vAlign w:val="bottom"/>
            <w:shd w:val="clear" w:color="auto" w:fill="CCEEFF"/>
          </w:tcPr>
          <w:p>
            <w:pPr>
              <w:spacing w:after="0"/>
              <w:rPr>
                <w:sz w:val="18"/>
                <w:szCs w:val="18"/>
                <w:color w:val="auto"/>
              </w:rPr>
            </w:pPr>
          </w:p>
        </w:tc>
        <w:tc>
          <w:tcPr>
            <w:tcW w:w="3100" w:type="dxa"/>
            <w:vAlign w:val="bottom"/>
            <w:shd w:val="clear" w:color="auto" w:fill="CCEEFF"/>
          </w:tcPr>
          <w:p>
            <w:pPr>
              <w:ind w:left="80"/>
              <w:spacing w:after="0"/>
              <w:rPr>
                <w:sz w:val="20"/>
                <w:szCs w:val="20"/>
                <w:color w:val="auto"/>
              </w:rPr>
            </w:pPr>
            <w:r>
              <w:rPr>
                <w:rFonts w:ascii="Arial" w:cs="Arial" w:eastAsia="Arial" w:hAnsi="Arial"/>
                <w:sz w:val="18"/>
                <w:szCs w:val="18"/>
                <w:color w:val="auto"/>
                <w:w w:val="95"/>
              </w:rPr>
              <w:t>Accumulated other comprehensive loss</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200" w:type="dxa"/>
            <w:vAlign w:val="bottom"/>
          </w:tcPr>
          <w:p>
            <w:pPr>
              <w:ind w:left="340"/>
              <w:spacing w:after="0"/>
              <w:rPr>
                <w:sz w:val="20"/>
                <w:szCs w:val="20"/>
                <w:color w:val="auto"/>
              </w:rPr>
            </w:pPr>
            <w:r>
              <w:rPr>
                <w:rFonts w:ascii="Arial" w:cs="Arial" w:eastAsia="Arial" w:hAnsi="Arial"/>
                <w:sz w:val="18"/>
                <w:szCs w:val="18"/>
                <w:b w:val="1"/>
                <w:bCs w:val="1"/>
                <w:color w:val="auto"/>
              </w:rPr>
              <w:t>Total stockholders’ deficiency</w:t>
            </w:r>
          </w:p>
        </w:tc>
        <w:tc>
          <w:tcPr>
            <w:tcW w:w="240" w:type="dxa"/>
            <w:vAlign w:val="bottom"/>
          </w:tcPr>
          <w:p>
            <w:pPr>
              <w:spacing w:after="0"/>
              <w:rPr>
                <w:sz w:val="20"/>
                <w:szCs w:val="20"/>
                <w:color w:val="auto"/>
              </w:rPr>
            </w:pPr>
          </w:p>
        </w:tc>
        <w:tc>
          <w:tcPr>
            <w:tcW w:w="80" w:type="dxa"/>
            <w:vAlign w:val="bottom"/>
            <w:tcBorders>
              <w:top w:val="single" w:sz="8" w:color="auto"/>
              <w:bottom w:val="single" w:sz="8" w:color="auto"/>
            </w:tcBorders>
          </w:tcPr>
          <w:p>
            <w:pPr>
              <w:spacing w:after="0"/>
              <w:rPr>
                <w:sz w:val="20"/>
                <w:szCs w:val="20"/>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(95,181)</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 w:type="dxa"/>
            <w:vAlign w:val="bottom"/>
            <w:tcBorders>
              <w:top w:val="single" w:sz="8" w:color="auto"/>
              <w:bottom w:val="single" w:sz="8" w:color="auto"/>
            </w:tcBorders>
          </w:tcPr>
          <w:p>
            <w:pPr>
              <w:spacing w:after="0"/>
              <w:rPr>
                <w:sz w:val="20"/>
                <w:szCs w:val="20"/>
                <w:color w:val="auto"/>
              </w:rPr>
            </w:pPr>
          </w:p>
        </w:tc>
        <w:tc>
          <w:tcPr>
            <w:tcW w:w="880" w:type="dxa"/>
            <w:vAlign w:val="bottom"/>
            <w:tcBorders>
              <w:top w:val="single" w:sz="8" w:color="auto"/>
              <w:bottom w:val="single" w:sz="8" w:color="auto"/>
            </w:tcBorders>
          </w:tcPr>
          <w:p>
            <w:pPr>
              <w:ind w:left="60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Borders>
              <w:top w:val="single" w:sz="8" w:color="auto"/>
              <w:bottom w:val="single" w:sz="8" w:color="auto"/>
            </w:tcBorders>
          </w:tcPr>
          <w:p>
            <w:pPr>
              <w:spacing w:after="0"/>
              <w:rPr>
                <w:sz w:val="20"/>
                <w:szCs w:val="20"/>
                <w:color w:val="auto"/>
              </w:rPr>
            </w:pP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9"/>
              </w:rPr>
              <w:t>(95,181)</w:t>
            </w:r>
          </w:p>
        </w:tc>
        <w:tc>
          <w:tcPr>
            <w:tcW w:w="140" w:type="dxa"/>
            <w:vAlign w:val="bottom"/>
          </w:tcPr>
          <w:p>
            <w:pPr>
              <w:spacing w:after="0"/>
              <w:rPr>
                <w:sz w:val="20"/>
                <w:szCs w:val="20"/>
                <w:color w:val="auto"/>
              </w:rPr>
            </w:pPr>
          </w:p>
        </w:tc>
        <w:tc>
          <w:tcPr>
            <w:tcW w:w="3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4200" w:type="dxa"/>
            <w:vAlign w:val="bottom"/>
            <w:shd w:val="clear" w:color="auto" w:fill="CCEEFF"/>
          </w:tcPr>
          <w:p>
            <w:pPr>
              <w:ind w:left="340"/>
              <w:spacing w:after="0" w:line="198" w:lineRule="exact"/>
              <w:rPr>
                <w:sz w:val="20"/>
                <w:szCs w:val="20"/>
                <w:color w:val="auto"/>
              </w:rPr>
            </w:pPr>
            <w:r>
              <w:rPr>
                <w:rFonts w:ascii="Arial" w:cs="Arial" w:eastAsia="Arial" w:hAnsi="Arial"/>
                <w:sz w:val="18"/>
                <w:szCs w:val="18"/>
                <w:b w:val="1"/>
                <w:bCs w:val="1"/>
                <w:color w:val="auto"/>
                <w:w w:val="95"/>
              </w:rPr>
              <w:t>Total liabilities, convertible preferred stock and</w:t>
            </w:r>
          </w:p>
        </w:tc>
        <w:tc>
          <w:tcPr>
            <w:tcW w:w="2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3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4200" w:type="dxa"/>
            <w:vAlign w:val="bottom"/>
            <w:shd w:val="clear" w:color="auto" w:fill="CCEEFF"/>
          </w:tcPr>
          <w:p>
            <w:pPr>
              <w:ind w:left="520"/>
              <w:spacing w:after="0"/>
              <w:rPr>
                <w:sz w:val="20"/>
                <w:szCs w:val="20"/>
                <w:color w:val="auto"/>
              </w:rPr>
            </w:pPr>
            <w:r>
              <w:rPr>
                <w:rFonts w:ascii="Arial" w:cs="Arial" w:eastAsia="Arial" w:hAnsi="Arial"/>
                <w:sz w:val="18"/>
                <w:szCs w:val="18"/>
                <w:b w:val="1"/>
                <w:bCs w:val="1"/>
                <w:color w:val="auto"/>
              </w:rPr>
              <w:t>stockholders’ deficiency</w:t>
            </w:r>
          </w:p>
        </w:tc>
        <w:tc>
          <w:tcPr>
            <w:tcW w:w="320" w:type="dxa"/>
            <w:vAlign w:val="bottom"/>
            <w:gridSpan w:val="2"/>
            <w:shd w:val="clear" w:color="auto" w:fill="CCEEFF"/>
          </w:tcPr>
          <w:p>
            <w:pPr>
              <w:ind w:left="220"/>
              <w:spacing w:after="0"/>
              <w:rPr>
                <w:sz w:val="20"/>
                <w:szCs w:val="20"/>
                <w:color w:val="auto"/>
              </w:rPr>
            </w:pPr>
            <w:r>
              <w:rPr>
                <w:rFonts w:ascii="Arial" w:cs="Arial" w:eastAsia="Arial" w:hAnsi="Arial"/>
                <w:sz w:val="18"/>
                <w:szCs w:val="18"/>
                <w:b w:val="1"/>
                <w:bCs w:val="1"/>
                <w:color w:val="auto"/>
                <w:w w:val="79"/>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27,599</w:t>
            </w:r>
          </w:p>
        </w:tc>
        <w:tc>
          <w:tcPr>
            <w:tcW w:w="120" w:type="dxa"/>
            <w:vAlign w:val="bottom"/>
            <w:shd w:val="clear" w:color="auto" w:fill="CCEEFF"/>
          </w:tcPr>
          <w:p>
            <w:pPr>
              <w:spacing w:after="0"/>
              <w:rPr>
                <w:sz w:val="20"/>
                <w:szCs w:val="20"/>
                <w:color w:val="auto"/>
              </w:rPr>
            </w:pPr>
          </w:p>
        </w:tc>
        <w:tc>
          <w:tcPr>
            <w:tcW w:w="180" w:type="dxa"/>
            <w:vAlign w:val="bottom"/>
            <w:gridSpan w:val="2"/>
            <w:shd w:val="clear" w:color="auto" w:fill="CCEEFF"/>
          </w:tcPr>
          <w:p>
            <w:pPr>
              <w:ind w:left="80"/>
              <w:spacing w:after="0"/>
              <w:rPr>
                <w:sz w:val="20"/>
                <w:szCs w:val="20"/>
                <w:color w:val="auto"/>
              </w:rPr>
            </w:pPr>
            <w:r>
              <w:rPr>
                <w:rFonts w:ascii="Arial" w:cs="Arial" w:eastAsia="Arial" w:hAnsi="Arial"/>
                <w:sz w:val="18"/>
                <w:szCs w:val="18"/>
                <w:b w:val="1"/>
                <w:bCs w:val="1"/>
                <w:color w:val="auto"/>
                <w:w w:val="79"/>
              </w:rPr>
              <w:t>$</w:t>
            </w:r>
          </w:p>
        </w:tc>
        <w:tc>
          <w:tcPr>
            <w:tcW w:w="1020" w:type="dxa"/>
            <w:vAlign w:val="bottom"/>
            <w:gridSpan w:val="2"/>
            <w:shd w:val="clear" w:color="auto" w:fill="CCEEFF"/>
          </w:tcPr>
          <w:p>
            <w:pPr>
              <w:ind w:left="600"/>
              <w:spacing w:after="0"/>
              <w:rPr>
                <w:sz w:val="20"/>
                <w:szCs w:val="20"/>
                <w:color w:val="auto"/>
              </w:rPr>
            </w:pPr>
            <w:r>
              <w:rPr>
                <w:rFonts w:ascii="Arial" w:cs="Arial" w:eastAsia="Arial" w:hAnsi="Arial"/>
                <w:sz w:val="18"/>
                <w:szCs w:val="18"/>
                <w:b w:val="1"/>
                <w:bCs w:val="1"/>
                <w:color w:val="auto"/>
              </w:rPr>
              <w:t>—</w:t>
            </w:r>
          </w:p>
        </w:tc>
        <w:tc>
          <w:tcPr>
            <w:tcW w:w="8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240" w:type="dxa"/>
            <w:vAlign w:val="bottom"/>
            <w:gridSpan w:val="2"/>
            <w:shd w:val="clear" w:color="auto" w:fill="CCEEFF"/>
          </w:tcPr>
          <w:p>
            <w:pPr>
              <w:ind w:left="100"/>
              <w:spacing w:after="0"/>
              <w:rPr>
                <w:sz w:val="20"/>
                <w:szCs w:val="20"/>
                <w:color w:val="auto"/>
              </w:rPr>
            </w:pPr>
            <w:r>
              <w:rPr>
                <w:rFonts w:ascii="Arial" w:cs="Arial" w:eastAsia="Arial" w:hAnsi="Arial"/>
                <w:sz w:val="18"/>
                <w:szCs w:val="18"/>
                <w:b w:val="1"/>
                <w:bCs w:val="1"/>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27,599</w:t>
            </w:r>
          </w:p>
        </w:tc>
        <w:tc>
          <w:tcPr>
            <w:tcW w:w="140" w:type="dxa"/>
            <w:vAlign w:val="bottom"/>
            <w:shd w:val="clear" w:color="auto" w:fill="CCEEFF"/>
          </w:tcPr>
          <w:p>
            <w:pPr>
              <w:spacing w:after="0"/>
              <w:rPr>
                <w:sz w:val="20"/>
                <w:szCs w:val="20"/>
                <w:color w:val="auto"/>
              </w:rPr>
            </w:pPr>
          </w:p>
        </w:tc>
        <w:tc>
          <w:tcPr>
            <w:tcW w:w="31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2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2" w:lineRule="exact"/>
        <w:rPr>
          <w:sz w:val="20"/>
          <w:szCs w:val="20"/>
          <w:color w:val="auto"/>
        </w:rPr>
      </w:pPr>
    </w:p>
    <w:p>
      <w:pPr>
        <w:ind w:left="440" w:hanging="436"/>
        <w:spacing w:after="0"/>
        <w:tabs>
          <w:tab w:leader="none" w:pos="440" w:val="left"/>
        </w:tabs>
        <w:numPr>
          <w:ilvl w:val="0"/>
          <w:numId w:val="27"/>
        </w:numPr>
        <w:rPr>
          <w:rFonts w:ascii="Arial" w:cs="Arial" w:eastAsia="Arial" w:hAnsi="Arial"/>
          <w:sz w:val="17"/>
          <w:szCs w:val="17"/>
          <w:color w:val="auto"/>
        </w:rPr>
      </w:pPr>
      <w:r>
        <w:rPr>
          <w:rFonts w:ascii="Arial" w:cs="Arial" w:eastAsia="Arial" w:hAnsi="Arial"/>
          <w:sz w:val="17"/>
          <w:szCs w:val="17"/>
          <w:color w:val="auto"/>
        </w:rPr>
        <w:t>Reclassification of amount related to deferred commissions included in “Prepaid expense and other current assets” and “Other assets”.</w:t>
      </w:r>
    </w:p>
    <w:p>
      <w:pPr>
        <w:spacing w:after="0" w:line="34" w:lineRule="exact"/>
        <w:rPr>
          <w:rFonts w:ascii="Arial" w:cs="Arial" w:eastAsia="Arial" w:hAnsi="Arial"/>
          <w:sz w:val="17"/>
          <w:szCs w:val="17"/>
          <w:color w:val="auto"/>
        </w:rPr>
      </w:pPr>
    </w:p>
    <w:p>
      <w:pPr>
        <w:ind w:left="440" w:hanging="436"/>
        <w:spacing w:after="0"/>
        <w:tabs>
          <w:tab w:leader="none" w:pos="440" w:val="left"/>
        </w:tabs>
        <w:numPr>
          <w:ilvl w:val="0"/>
          <w:numId w:val="27"/>
        </w:numPr>
        <w:rPr>
          <w:rFonts w:ascii="Arial" w:cs="Arial" w:eastAsia="Arial" w:hAnsi="Arial"/>
          <w:sz w:val="18"/>
          <w:szCs w:val="18"/>
          <w:color w:val="auto"/>
        </w:rPr>
      </w:pPr>
      <w:r>
        <w:rPr>
          <w:rFonts w:ascii="Arial" w:cs="Arial" w:eastAsia="Arial" w:hAnsi="Arial"/>
          <w:sz w:val="18"/>
          <w:szCs w:val="18"/>
          <w:color w:val="auto"/>
        </w:rPr>
        <w:t>Reclassification of amount related to intangible assets” included in “Property and equipment, net”.</w:t>
      </w:r>
    </w:p>
    <w:p>
      <w:pPr>
        <w:spacing w:after="0" w:line="9" w:lineRule="exact"/>
        <w:rPr>
          <w:rFonts w:ascii="Arial" w:cs="Arial" w:eastAsia="Arial" w:hAnsi="Arial"/>
          <w:sz w:val="18"/>
          <w:szCs w:val="18"/>
          <w:color w:val="auto"/>
        </w:rPr>
      </w:pPr>
    </w:p>
    <w:p>
      <w:pPr>
        <w:ind w:left="440" w:right="380" w:hanging="436"/>
        <w:spacing w:after="0" w:line="250" w:lineRule="auto"/>
        <w:tabs>
          <w:tab w:leader="none" w:pos="440" w:val="left"/>
        </w:tabs>
        <w:numPr>
          <w:ilvl w:val="0"/>
          <w:numId w:val="27"/>
        </w:numPr>
        <w:rPr>
          <w:rFonts w:ascii="Arial" w:cs="Arial" w:eastAsia="Arial" w:hAnsi="Arial"/>
          <w:sz w:val="18"/>
          <w:szCs w:val="18"/>
          <w:color w:val="auto"/>
        </w:rPr>
      </w:pPr>
      <w:r>
        <w:rPr>
          <w:rFonts w:ascii="Arial" w:cs="Arial" w:eastAsia="Arial" w:hAnsi="Arial"/>
          <w:sz w:val="18"/>
          <w:szCs w:val="18"/>
          <w:color w:val="auto"/>
        </w:rPr>
        <w:t>Reclassification of amounts related to accounts payable and accrued expense to separate “Account payable” and “Accrued expenses and other current liabilities” accounts.</w:t>
      </w:r>
    </w:p>
    <w:p>
      <w:pPr>
        <w:ind w:left="440" w:hanging="436"/>
        <w:spacing w:after="0"/>
        <w:tabs>
          <w:tab w:leader="none" w:pos="440" w:val="left"/>
        </w:tabs>
        <w:numPr>
          <w:ilvl w:val="0"/>
          <w:numId w:val="27"/>
        </w:numPr>
        <w:rPr>
          <w:rFonts w:ascii="Arial" w:cs="Arial" w:eastAsia="Arial" w:hAnsi="Arial"/>
          <w:sz w:val="18"/>
          <w:szCs w:val="18"/>
          <w:color w:val="auto"/>
        </w:rPr>
      </w:pPr>
      <w:r>
        <w:rPr>
          <w:rFonts w:ascii="Arial" w:cs="Arial" w:eastAsia="Arial" w:hAnsi="Arial"/>
          <w:sz w:val="18"/>
          <w:szCs w:val="18"/>
          <w:color w:val="auto"/>
        </w:rPr>
        <w:t>Reclassification of amounts related to deferred rent and deferred revenue to “Non-current liabilities”.</w:t>
      </w:r>
    </w:p>
    <w:p>
      <w:pPr>
        <w:spacing w:after="0" w:line="143"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040"/>
          </w:cols>
          <w:pgMar w:left="440" w:top="270" w:right="419" w:bottom="1440" w:gutter="0" w:footer="0" w:header="0"/>
        </w:sectPr>
      </w:pPr>
    </w:p>
    <w:bookmarkStart w:id="48" w:name="page49"/>
    <w:bookmarkEnd w:id="48"/>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420" w:type="dxa"/>
            <w:vAlign w:val="bottom"/>
          </w:tcPr>
          <w:p>
            <w:pPr>
              <w:spacing w:after="0"/>
              <w:rPr>
                <w:sz w:val="14"/>
                <w:szCs w:val="14"/>
                <w:color w:val="auto"/>
              </w:rPr>
            </w:pPr>
          </w:p>
        </w:tc>
        <w:tc>
          <w:tcPr>
            <w:tcW w:w="920" w:type="dxa"/>
            <w:vAlign w:val="bottom"/>
            <w:gridSpan w:val="4"/>
          </w:tcPr>
          <w:p>
            <w:pPr>
              <w:spacing w:after="0"/>
              <w:rPr>
                <w:sz w:val="20"/>
                <w:szCs w:val="20"/>
                <w:color w:val="auto"/>
              </w:rPr>
            </w:pPr>
            <w:r>
              <w:rPr>
                <w:rFonts w:ascii="Arial" w:cs="Arial" w:eastAsia="Arial" w:hAnsi="Arial"/>
                <w:sz w:val="14"/>
                <w:szCs w:val="14"/>
                <w:b w:val="1"/>
                <w:bCs w:val="1"/>
                <w:color w:val="auto"/>
              </w:rPr>
              <w:t>As Reported</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40" w:type="dxa"/>
            <w:vAlign w:val="bottom"/>
            <w:gridSpan w:val="2"/>
            <w:vMerge w:val="restart"/>
          </w:tcPr>
          <w:p>
            <w:pPr>
              <w:jc w:val="right"/>
              <w:ind w:right="340"/>
              <w:spacing w:after="0"/>
              <w:rPr>
                <w:sz w:val="20"/>
                <w:szCs w:val="20"/>
                <w:color w:val="auto"/>
              </w:rPr>
            </w:pPr>
            <w:r>
              <w:rPr>
                <w:rFonts w:ascii="Arial" w:cs="Arial" w:eastAsia="Arial" w:hAnsi="Arial"/>
                <w:sz w:val="14"/>
                <w:szCs w:val="14"/>
                <w:b w:val="1"/>
                <w:bCs w:val="1"/>
                <w:color w:val="auto"/>
              </w:rPr>
              <w:t>As</w:t>
            </w:r>
          </w:p>
        </w:tc>
        <w:tc>
          <w:tcPr>
            <w:tcW w:w="31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4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40" w:type="dxa"/>
            <w:vAlign w:val="bottom"/>
            <w:gridSpan w:val="2"/>
          </w:tcPr>
          <w:p>
            <w:pPr>
              <w:jc w:val="right"/>
              <w:ind w:right="240"/>
              <w:spacing w:after="0" w:line="149" w:lineRule="exact"/>
              <w:rPr>
                <w:sz w:val="20"/>
                <w:szCs w:val="20"/>
                <w:color w:val="auto"/>
              </w:rPr>
            </w:pPr>
            <w:r>
              <w:rPr>
                <w:rFonts w:ascii="Arial" w:cs="Arial" w:eastAsia="Arial" w:hAnsi="Arial"/>
                <w:sz w:val="14"/>
                <w:szCs w:val="14"/>
                <w:b w:val="1"/>
                <w:bCs w:val="1"/>
                <w:color w:val="auto"/>
                <w:w w:val="90"/>
              </w:rPr>
              <w:t>Historical</w:t>
            </w:r>
          </w:p>
        </w:tc>
        <w:tc>
          <w:tcPr>
            <w:tcW w:w="1180" w:type="dxa"/>
            <w:vAlign w:val="bottom"/>
            <w:gridSpan w:val="4"/>
            <w:vMerge w:val="restart"/>
          </w:tcPr>
          <w:p>
            <w:pPr>
              <w:jc w:val="right"/>
              <w:ind w:right="140"/>
              <w:spacing w:after="0"/>
              <w:rPr>
                <w:sz w:val="20"/>
                <w:szCs w:val="20"/>
                <w:color w:val="auto"/>
              </w:rPr>
            </w:pPr>
            <w:r>
              <w:rPr>
                <w:rFonts w:ascii="Arial" w:cs="Arial" w:eastAsia="Arial" w:hAnsi="Arial"/>
                <w:sz w:val="14"/>
                <w:szCs w:val="14"/>
                <w:b w:val="1"/>
                <w:bCs w:val="1"/>
                <w:color w:val="auto"/>
                <w:w w:val="95"/>
              </w:rPr>
              <w:t>Reclassification</w:t>
            </w:r>
          </w:p>
        </w:tc>
        <w:tc>
          <w:tcPr>
            <w:tcW w:w="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gridSpan w:val="2"/>
            <w:vMerge w:val="continue"/>
          </w:tcPr>
          <w:p>
            <w:pPr>
              <w:spacing w:after="0"/>
              <w:rPr>
                <w:sz w:val="12"/>
                <w:szCs w:val="12"/>
                <w:color w:val="auto"/>
              </w:rPr>
            </w:pPr>
          </w:p>
        </w:tc>
        <w:tc>
          <w:tcPr>
            <w:tcW w:w="31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4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40" w:type="dxa"/>
            <w:vAlign w:val="bottom"/>
            <w:gridSpan w:val="2"/>
          </w:tcPr>
          <w:p>
            <w:pPr>
              <w:jc w:val="right"/>
              <w:ind w:right="360"/>
              <w:spacing w:after="0" w:line="149" w:lineRule="exact"/>
              <w:rPr>
                <w:sz w:val="20"/>
                <w:szCs w:val="20"/>
                <w:color w:val="auto"/>
              </w:rPr>
            </w:pPr>
            <w:r>
              <w:rPr>
                <w:rFonts w:ascii="Arial" w:cs="Arial" w:eastAsia="Arial" w:hAnsi="Arial"/>
                <w:sz w:val="14"/>
                <w:szCs w:val="14"/>
                <w:b w:val="1"/>
                <w:bCs w:val="1"/>
                <w:color w:val="auto"/>
              </w:rPr>
              <w:t>Sirius</w:t>
            </w:r>
          </w:p>
        </w:tc>
        <w:tc>
          <w:tcPr>
            <w:tcW w:w="1180" w:type="dxa"/>
            <w:vAlign w:val="bottom"/>
            <w:gridSpan w:val="4"/>
            <w:vMerge w:val="continue"/>
          </w:tcPr>
          <w:p>
            <w:pPr>
              <w:spacing w:after="0"/>
              <w:rPr>
                <w:sz w:val="12"/>
                <w:szCs w:val="12"/>
                <w:color w:val="auto"/>
              </w:rPr>
            </w:pPr>
          </w:p>
        </w:tc>
        <w:tc>
          <w:tcPr>
            <w:tcW w:w="380" w:type="dxa"/>
            <w:vAlign w:val="bottom"/>
            <w:gridSpan w:val="2"/>
            <w:vMerge w:val="restart"/>
          </w:tcPr>
          <w:p>
            <w:pPr>
              <w:ind w:left="80"/>
              <w:spacing w:after="0"/>
              <w:rPr>
                <w:sz w:val="20"/>
                <w:szCs w:val="20"/>
                <w:color w:val="auto"/>
              </w:rPr>
            </w:pPr>
            <w:r>
              <w:rPr>
                <w:rFonts w:ascii="Arial" w:cs="Arial" w:eastAsia="Arial" w:hAnsi="Arial"/>
                <w:sz w:val="14"/>
                <w:szCs w:val="14"/>
                <w:b w:val="1"/>
                <w:bCs w:val="1"/>
                <w:color w:val="auto"/>
                <w:w w:val="89"/>
              </w:rPr>
              <w:t>Note</w:t>
            </w:r>
          </w:p>
        </w:tc>
        <w:tc>
          <w:tcPr>
            <w:tcW w:w="220" w:type="dxa"/>
            <w:vAlign w:val="bottom"/>
          </w:tcPr>
          <w:p>
            <w:pPr>
              <w:spacing w:after="0"/>
              <w:rPr>
                <w:sz w:val="12"/>
                <w:szCs w:val="12"/>
                <w:color w:val="auto"/>
              </w:rPr>
            </w:pPr>
          </w:p>
        </w:tc>
        <w:tc>
          <w:tcPr>
            <w:tcW w:w="720" w:type="dxa"/>
            <w:vAlign w:val="bottom"/>
            <w:gridSpan w:val="3"/>
          </w:tcPr>
          <w:p>
            <w:pPr>
              <w:ind w:left="20"/>
              <w:spacing w:after="0" w:line="149" w:lineRule="exact"/>
              <w:rPr>
                <w:sz w:val="20"/>
                <w:szCs w:val="20"/>
                <w:color w:val="auto"/>
              </w:rPr>
            </w:pPr>
            <w:r>
              <w:rPr>
                <w:rFonts w:ascii="Arial" w:cs="Arial" w:eastAsia="Arial" w:hAnsi="Arial"/>
                <w:sz w:val="14"/>
                <w:szCs w:val="14"/>
                <w:b w:val="1"/>
                <w:bCs w:val="1"/>
                <w:color w:val="auto"/>
              </w:rPr>
              <w:t>Adjusted</w:t>
            </w:r>
          </w:p>
        </w:tc>
        <w:tc>
          <w:tcPr>
            <w:tcW w:w="31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44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900" w:type="dxa"/>
            <w:vAlign w:val="bottom"/>
            <w:gridSpan w:val="3"/>
          </w:tcPr>
          <w:p>
            <w:pPr>
              <w:spacing w:after="0"/>
              <w:rPr>
                <w:sz w:val="20"/>
                <w:szCs w:val="20"/>
                <w:color w:val="auto"/>
              </w:rPr>
            </w:pPr>
            <w:r>
              <w:rPr>
                <w:rFonts w:ascii="Arial" w:cs="Arial" w:eastAsia="Arial" w:hAnsi="Arial"/>
                <w:sz w:val="14"/>
                <w:szCs w:val="14"/>
                <w:b w:val="1"/>
                <w:bCs w:val="1"/>
                <w:color w:val="auto"/>
              </w:rPr>
              <w:t>(Unaudited)</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4"/>
                <w:szCs w:val="14"/>
                <w:b w:val="1"/>
                <w:bCs w:val="1"/>
                <w:color w:val="auto"/>
                <w:w w:val="91"/>
              </w:rPr>
              <w:t>Adjustments</w:t>
            </w:r>
          </w:p>
        </w:tc>
        <w:tc>
          <w:tcPr>
            <w:tcW w:w="380" w:type="dxa"/>
            <w:vAlign w:val="bottom"/>
            <w:gridSpan w:val="2"/>
            <w:vMerge w:val="continue"/>
          </w:tcPr>
          <w:p>
            <w:pPr>
              <w:spacing w:after="0"/>
              <w:rPr>
                <w:sz w:val="14"/>
                <w:szCs w:val="14"/>
                <w:color w:val="auto"/>
              </w:rPr>
            </w:pP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40" w:type="dxa"/>
            <w:vAlign w:val="bottom"/>
            <w:gridSpan w:val="2"/>
          </w:tcPr>
          <w:p>
            <w:pPr>
              <w:jc w:val="right"/>
              <w:ind w:right="240"/>
              <w:spacing w:after="0"/>
              <w:rPr>
                <w:sz w:val="20"/>
                <w:szCs w:val="20"/>
                <w:color w:val="auto"/>
              </w:rPr>
            </w:pPr>
            <w:r>
              <w:rPr>
                <w:rFonts w:ascii="Arial" w:cs="Arial" w:eastAsia="Arial" w:hAnsi="Arial"/>
                <w:sz w:val="14"/>
                <w:szCs w:val="14"/>
                <w:b w:val="1"/>
                <w:bCs w:val="1"/>
                <w:color w:val="auto"/>
                <w:w w:val="97"/>
              </w:rPr>
              <w:t>Sirius</w:t>
            </w:r>
          </w:p>
        </w:tc>
        <w:tc>
          <w:tcPr>
            <w:tcW w:w="31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442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Revenues:</w:t>
            </w:r>
          </w:p>
        </w:tc>
        <w:tc>
          <w:tcPr>
            <w:tcW w:w="20" w:type="dxa"/>
            <w:vAlign w:val="bottom"/>
            <w:tcBorders>
              <w:top w:val="single" w:sz="8" w:color="CCEEFF"/>
            </w:tcBorders>
            <w:shd w:val="clear" w:color="auto" w:fill="CCEEFF"/>
          </w:tcPr>
          <w:p>
            <w:pPr>
              <w:spacing w:after="0"/>
              <w:rPr>
                <w:sz w:val="17"/>
                <w:szCs w:val="17"/>
                <w:color w:val="auto"/>
              </w:rPr>
            </w:pPr>
          </w:p>
        </w:tc>
        <w:tc>
          <w:tcPr>
            <w:tcW w:w="60" w:type="dxa"/>
            <w:vAlign w:val="bottom"/>
            <w:tcBorders>
              <w:top w:val="single" w:sz="8" w:color="auto"/>
            </w:tcBorders>
            <w:shd w:val="clear" w:color="auto" w:fill="CCEEFF"/>
          </w:tcPr>
          <w:p>
            <w:pPr>
              <w:spacing w:after="0"/>
              <w:rPr>
                <w:sz w:val="17"/>
                <w:szCs w:val="17"/>
                <w:color w:val="auto"/>
              </w:rPr>
            </w:pPr>
          </w:p>
        </w:tc>
        <w:tc>
          <w:tcPr>
            <w:tcW w:w="700" w:type="dxa"/>
            <w:vAlign w:val="bottom"/>
            <w:tcBorders>
              <w:top w:val="single" w:sz="8" w:color="auto"/>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17"/>
                <w:szCs w:val="17"/>
                <w:color w:val="auto"/>
              </w:rPr>
            </w:pPr>
          </w:p>
        </w:tc>
        <w:tc>
          <w:tcPr>
            <w:tcW w:w="90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300" w:type="dxa"/>
            <w:vAlign w:val="bottom"/>
            <w:tcBorders>
              <w:top w:val="single" w:sz="8" w:color="auto"/>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17"/>
                <w:szCs w:val="17"/>
                <w:color w:val="auto"/>
              </w:rPr>
            </w:pPr>
          </w:p>
        </w:tc>
        <w:tc>
          <w:tcPr>
            <w:tcW w:w="52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3180" w:type="dxa"/>
            <w:vAlign w:val="bottom"/>
            <w:tcBorders>
              <w:top w:val="single" w:sz="8" w:color="CCEEFF"/>
            </w:tcBorders>
            <w:shd w:val="clear" w:color="auto" w:fill="CCEEFF"/>
          </w:tcPr>
          <w:p>
            <w:pPr>
              <w:ind w:left="80"/>
              <w:spacing w:after="0" w:line="196" w:lineRule="exact"/>
              <w:rPr>
                <w:sz w:val="20"/>
                <w:szCs w:val="20"/>
                <w:color w:val="auto"/>
              </w:rPr>
            </w:pPr>
            <w:r>
              <w:rPr>
                <w:rFonts w:ascii="Arial" w:cs="Arial" w:eastAsia="Arial" w:hAnsi="Arial"/>
                <w:sz w:val="18"/>
                <w:szCs w:val="18"/>
                <w:b w:val="1"/>
                <w:bCs w:val="1"/>
                <w:color w:val="auto"/>
              </w:rPr>
              <w:t>Revenues:</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20" w:type="dxa"/>
            <w:vAlign w:val="bottom"/>
          </w:tcPr>
          <w:p>
            <w:pPr>
              <w:spacing w:after="0"/>
              <w:rPr>
                <w:sz w:val="20"/>
                <w:szCs w:val="20"/>
                <w:color w:val="auto"/>
              </w:rPr>
            </w:pPr>
            <w:r>
              <w:rPr>
                <w:rFonts w:ascii="Arial" w:cs="Arial" w:eastAsia="Arial" w:hAnsi="Arial"/>
                <w:sz w:val="18"/>
                <w:szCs w:val="18"/>
                <w:color w:val="auto"/>
              </w:rPr>
              <w:t>Research services</w:t>
            </w:r>
          </w:p>
        </w:tc>
        <w:tc>
          <w:tcPr>
            <w:tcW w:w="80" w:type="dxa"/>
            <w:vAlign w:val="bottom"/>
            <w:gridSpan w:val="2"/>
          </w:tcPr>
          <w:p>
            <w:pPr>
              <w:spacing w:after="0"/>
              <w:rPr>
                <w:sz w:val="20"/>
                <w:szCs w:val="20"/>
                <w:color w:val="auto"/>
              </w:rPr>
            </w:pPr>
            <w:r>
              <w:rPr>
                <w:rFonts w:ascii="Arial" w:cs="Arial" w:eastAsia="Arial" w:hAnsi="Arial"/>
                <w:sz w:val="15"/>
                <w:szCs w:val="15"/>
                <w:color w:val="auto"/>
                <w:w w:val="71"/>
              </w:rPr>
              <w:t>$</w:t>
            </w:r>
          </w:p>
        </w:tc>
        <w:tc>
          <w:tcPr>
            <w:tcW w:w="84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64,597</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00" w:type="dxa"/>
            <w:vAlign w:val="bottom"/>
          </w:tcPr>
          <w:p>
            <w:pPr>
              <w:ind w:left="160"/>
              <w:spacing w:after="0"/>
              <w:rPr>
                <w:sz w:val="20"/>
                <w:szCs w:val="20"/>
                <w:color w:val="auto"/>
              </w:rPr>
            </w:pPr>
            <w:r>
              <w:rPr>
                <w:rFonts w:ascii="Arial" w:cs="Arial" w:eastAsia="Arial" w:hAnsi="Arial"/>
                <w:sz w:val="18"/>
                <w:szCs w:val="18"/>
                <w:color w:val="auto"/>
              </w:rPr>
              <w:t>a</w:t>
            </w:r>
          </w:p>
        </w:tc>
        <w:tc>
          <w:tcPr>
            <w:tcW w:w="300" w:type="dxa"/>
            <w:vAlign w:val="bottom"/>
            <w:gridSpan w:val="2"/>
          </w:tcPr>
          <w:p>
            <w:pPr>
              <w:ind w:left="220"/>
              <w:spacing w:after="0"/>
              <w:rPr>
                <w:sz w:val="20"/>
                <w:szCs w:val="20"/>
                <w:color w:val="auto"/>
              </w:rPr>
            </w:pPr>
            <w:r>
              <w:rPr>
                <w:rFonts w:ascii="Arial" w:cs="Arial" w:eastAsia="Arial" w:hAnsi="Arial"/>
                <w:sz w:val="15"/>
                <w:szCs w:val="15"/>
                <w:color w:val="auto"/>
                <w:w w:val="71"/>
              </w:rPr>
              <w:t>$</w:t>
            </w:r>
          </w:p>
        </w:tc>
        <w:tc>
          <w:tcPr>
            <w:tcW w:w="520" w:type="dxa"/>
            <w:vAlign w:val="bottom"/>
          </w:tcPr>
          <w:p>
            <w:pPr>
              <w:jc w:val="right"/>
              <w:spacing w:after="0"/>
              <w:rPr>
                <w:sz w:val="20"/>
                <w:szCs w:val="20"/>
                <w:color w:val="auto"/>
              </w:rPr>
            </w:pPr>
            <w:r>
              <w:rPr>
                <w:rFonts w:ascii="Arial" w:cs="Arial" w:eastAsia="Arial" w:hAnsi="Arial"/>
                <w:sz w:val="18"/>
                <w:szCs w:val="18"/>
                <w:color w:val="auto"/>
                <w:w w:val="87"/>
              </w:rPr>
              <w:t>64,597</w:t>
            </w:r>
          </w:p>
        </w:tc>
        <w:tc>
          <w:tcPr>
            <w:tcW w:w="120" w:type="dxa"/>
            <w:vAlign w:val="bottom"/>
          </w:tcPr>
          <w:p>
            <w:pPr>
              <w:spacing w:after="0"/>
              <w:rPr>
                <w:sz w:val="18"/>
                <w:szCs w:val="18"/>
                <w:color w:val="auto"/>
              </w:rPr>
            </w:pPr>
          </w:p>
        </w:tc>
        <w:tc>
          <w:tcPr>
            <w:tcW w:w="3180" w:type="dxa"/>
            <w:vAlign w:val="bottom"/>
          </w:tcPr>
          <w:p>
            <w:pPr>
              <w:ind w:left="80"/>
              <w:spacing w:after="0"/>
              <w:rPr>
                <w:sz w:val="20"/>
                <w:szCs w:val="20"/>
                <w:color w:val="auto"/>
              </w:rPr>
            </w:pPr>
            <w:r>
              <w:rPr>
                <w:rFonts w:ascii="Arial" w:cs="Arial" w:eastAsia="Arial" w:hAnsi="Arial"/>
                <w:sz w:val="18"/>
                <w:szCs w:val="18"/>
                <w:color w:val="auto"/>
              </w:rPr>
              <w:t>Research services</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20" w:type="dxa"/>
            <w:vAlign w:val="bottom"/>
            <w:shd w:val="clear" w:color="auto" w:fill="CCEEFF"/>
          </w:tcPr>
          <w:p>
            <w:pPr>
              <w:spacing w:after="0"/>
              <w:rPr>
                <w:sz w:val="20"/>
                <w:szCs w:val="20"/>
                <w:color w:val="auto"/>
              </w:rPr>
            </w:pPr>
            <w:r>
              <w:rPr>
                <w:rFonts w:ascii="Arial" w:cs="Arial" w:eastAsia="Arial" w:hAnsi="Arial"/>
                <w:sz w:val="18"/>
                <w:szCs w:val="18"/>
                <w:color w:val="auto"/>
              </w:rPr>
              <w:t>Advisory services and events</w:t>
            </w: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24,924</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a</w:t>
            </w: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24,924</w:t>
            </w:r>
          </w:p>
        </w:tc>
        <w:tc>
          <w:tcPr>
            <w:tcW w:w="120" w:type="dxa"/>
            <w:vAlign w:val="bottom"/>
            <w:shd w:val="clear" w:color="auto" w:fill="CCEEFF"/>
          </w:tcPr>
          <w:p>
            <w:pPr>
              <w:spacing w:after="0"/>
              <w:rPr>
                <w:sz w:val="18"/>
                <w:szCs w:val="18"/>
                <w:color w:val="auto"/>
              </w:rPr>
            </w:pPr>
          </w:p>
        </w:tc>
        <w:tc>
          <w:tcPr>
            <w:tcW w:w="3180" w:type="dxa"/>
            <w:vAlign w:val="bottom"/>
            <w:shd w:val="clear" w:color="auto" w:fill="CCEEFF"/>
          </w:tcPr>
          <w:p>
            <w:pPr>
              <w:ind w:left="80"/>
              <w:spacing w:after="0"/>
              <w:rPr>
                <w:sz w:val="20"/>
                <w:szCs w:val="20"/>
                <w:color w:val="auto"/>
              </w:rPr>
            </w:pPr>
            <w:r>
              <w:rPr>
                <w:rFonts w:ascii="Arial" w:cs="Arial" w:eastAsia="Arial" w:hAnsi="Arial"/>
                <w:sz w:val="18"/>
                <w:szCs w:val="18"/>
                <w:color w:val="auto"/>
              </w:rPr>
              <w:t>Advisory services and events</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420" w:type="dxa"/>
            <w:vAlign w:val="bottom"/>
          </w:tcPr>
          <w:p>
            <w:pPr>
              <w:spacing w:after="0"/>
              <w:rPr>
                <w:sz w:val="20"/>
                <w:szCs w:val="20"/>
                <w:color w:val="auto"/>
              </w:rPr>
            </w:pPr>
            <w:r>
              <w:rPr>
                <w:rFonts w:ascii="Arial" w:cs="Arial" w:eastAsia="Arial" w:hAnsi="Arial"/>
                <w:sz w:val="18"/>
                <w:szCs w:val="18"/>
                <w:color w:val="auto"/>
              </w:rPr>
              <w:t>Revenue</w:t>
            </w: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89,521</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20" w:type="dxa"/>
            <w:vAlign w:val="bottom"/>
            <w:gridSpan w:val="2"/>
          </w:tcPr>
          <w:p>
            <w:pPr>
              <w:jc w:val="right"/>
              <w:ind w:right="80"/>
              <w:spacing w:after="0"/>
              <w:rPr>
                <w:sz w:val="20"/>
                <w:szCs w:val="20"/>
                <w:color w:val="auto"/>
              </w:rPr>
            </w:pPr>
            <w:r>
              <w:rPr>
                <w:rFonts w:ascii="Arial" w:cs="Arial" w:eastAsia="Arial" w:hAnsi="Arial"/>
                <w:sz w:val="18"/>
                <w:szCs w:val="18"/>
                <w:color w:val="auto"/>
              </w:rPr>
              <w:t>(89,521)</w:t>
            </w:r>
          </w:p>
        </w:tc>
        <w:tc>
          <w:tcPr>
            <w:tcW w:w="80" w:type="dxa"/>
            <w:vAlign w:val="bottom"/>
          </w:tcPr>
          <w:p>
            <w:pPr>
              <w:spacing w:after="0"/>
              <w:rPr>
                <w:sz w:val="19"/>
                <w:szCs w:val="19"/>
                <w:color w:val="auto"/>
              </w:rPr>
            </w:pPr>
          </w:p>
        </w:tc>
        <w:tc>
          <w:tcPr>
            <w:tcW w:w="300" w:type="dxa"/>
            <w:vAlign w:val="bottom"/>
          </w:tcPr>
          <w:p>
            <w:pPr>
              <w:ind w:left="160"/>
              <w:spacing w:after="0"/>
              <w:rPr>
                <w:sz w:val="20"/>
                <w:szCs w:val="20"/>
                <w:color w:val="auto"/>
              </w:rPr>
            </w:pPr>
            <w:r>
              <w:rPr>
                <w:rFonts w:ascii="Arial" w:cs="Arial" w:eastAsia="Arial" w:hAnsi="Arial"/>
                <w:sz w:val="18"/>
                <w:szCs w:val="18"/>
                <w:color w:val="auto"/>
              </w:rPr>
              <w:t>a</w:t>
            </w:r>
          </w:p>
        </w:tc>
        <w:tc>
          <w:tcPr>
            <w:tcW w:w="2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180" w:type="dxa"/>
            <w:vAlign w:val="bottom"/>
          </w:tcPr>
          <w:p>
            <w:pPr>
              <w:ind w:left="80"/>
              <w:spacing w:after="0"/>
              <w:rPr>
                <w:sz w:val="20"/>
                <w:szCs w:val="20"/>
                <w:color w:val="auto"/>
              </w:rPr>
            </w:pPr>
            <w:r>
              <w:rPr>
                <w:rFonts w:ascii="Arial" w:cs="Arial" w:eastAsia="Arial" w:hAnsi="Arial"/>
                <w:sz w:val="18"/>
                <w:szCs w:val="18"/>
                <w:color w:val="auto"/>
              </w:rPr>
              <w:t>Revenue</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Total revenues</w:t>
            </w:r>
          </w:p>
        </w:tc>
        <w:tc>
          <w:tcPr>
            <w:tcW w:w="20" w:type="dxa"/>
            <w:vAlign w:val="bottom"/>
            <w:shd w:val="clear" w:color="auto" w:fill="CCEEFF"/>
          </w:tcPr>
          <w:p>
            <w:pPr>
              <w:spacing w:after="0"/>
              <w:rPr>
                <w:sz w:val="18"/>
                <w:szCs w:val="18"/>
                <w:color w:val="auto"/>
              </w:rPr>
            </w:pPr>
          </w:p>
        </w:tc>
        <w:tc>
          <w:tcPr>
            <w:tcW w:w="60" w:type="dxa"/>
            <w:vAlign w:val="bottom"/>
            <w:tcBorders>
              <w:top w:val="single" w:sz="8" w:color="auto"/>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89,521</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5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7"/>
              </w:rPr>
              <w:t>89,521</w:t>
            </w:r>
          </w:p>
        </w:tc>
        <w:tc>
          <w:tcPr>
            <w:tcW w:w="120" w:type="dxa"/>
            <w:vAlign w:val="bottom"/>
            <w:shd w:val="clear" w:color="auto" w:fill="CCEEFF"/>
          </w:tcPr>
          <w:p>
            <w:pPr>
              <w:spacing w:after="0"/>
              <w:rPr>
                <w:sz w:val="18"/>
                <w:szCs w:val="18"/>
                <w:color w:val="auto"/>
              </w:rPr>
            </w:pPr>
          </w:p>
        </w:tc>
        <w:tc>
          <w:tcPr>
            <w:tcW w:w="3180" w:type="dxa"/>
            <w:vAlign w:val="bottom"/>
            <w:shd w:val="clear" w:color="auto" w:fill="CCEEFF"/>
          </w:tcPr>
          <w:p>
            <w:pPr>
              <w:ind w:left="440"/>
              <w:spacing w:after="0"/>
              <w:rPr>
                <w:sz w:val="20"/>
                <w:szCs w:val="20"/>
                <w:color w:val="auto"/>
              </w:rPr>
            </w:pPr>
            <w:r>
              <w:rPr>
                <w:rFonts w:ascii="Arial" w:cs="Arial" w:eastAsia="Arial" w:hAnsi="Arial"/>
                <w:sz w:val="18"/>
                <w:szCs w:val="18"/>
                <w:color w:val="auto"/>
              </w:rPr>
              <w:t>Total revenues</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20" w:type="dxa"/>
            <w:vAlign w:val="bottom"/>
          </w:tcPr>
          <w:p>
            <w:pPr>
              <w:spacing w:after="0"/>
              <w:rPr>
                <w:sz w:val="20"/>
                <w:szCs w:val="20"/>
                <w:color w:val="auto"/>
              </w:rPr>
            </w:pPr>
            <w:r>
              <w:rPr>
                <w:rFonts w:ascii="Arial" w:cs="Arial" w:eastAsia="Arial" w:hAnsi="Arial"/>
                <w:sz w:val="18"/>
                <w:szCs w:val="18"/>
                <w:b w:val="1"/>
                <w:bCs w:val="1"/>
                <w:color w:val="auto"/>
              </w:rPr>
              <w:t>Costs and expenses:</w:t>
            </w: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180" w:type="dxa"/>
            <w:vAlign w:val="bottom"/>
          </w:tcPr>
          <w:p>
            <w:pPr>
              <w:ind w:left="80"/>
              <w:spacing w:after="0"/>
              <w:rPr>
                <w:sz w:val="20"/>
                <w:szCs w:val="20"/>
                <w:color w:val="auto"/>
              </w:rPr>
            </w:pPr>
            <w:r>
              <w:rPr>
                <w:rFonts w:ascii="Arial" w:cs="Arial" w:eastAsia="Arial" w:hAnsi="Arial"/>
                <w:sz w:val="18"/>
                <w:szCs w:val="18"/>
                <w:b w:val="1"/>
                <w:bCs w:val="1"/>
                <w:color w:val="auto"/>
              </w:rPr>
              <w:t>Operating expenses:</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20" w:type="dxa"/>
            <w:vAlign w:val="bottom"/>
            <w:shd w:val="clear" w:color="auto" w:fill="CCEEFF"/>
          </w:tcPr>
          <w:p>
            <w:pPr>
              <w:spacing w:after="0"/>
              <w:rPr>
                <w:sz w:val="20"/>
                <w:szCs w:val="20"/>
                <w:color w:val="auto"/>
              </w:rPr>
            </w:pPr>
            <w:r>
              <w:rPr>
                <w:rFonts w:ascii="Arial" w:cs="Arial" w:eastAsia="Arial" w:hAnsi="Arial"/>
                <w:sz w:val="18"/>
                <w:szCs w:val="18"/>
                <w:color w:val="auto"/>
              </w:rPr>
              <w:t>Cost of services and product development</w:t>
            </w: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33,156</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846</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b</w:t>
            </w: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34,002</w:t>
            </w:r>
          </w:p>
        </w:tc>
        <w:tc>
          <w:tcPr>
            <w:tcW w:w="120" w:type="dxa"/>
            <w:vAlign w:val="bottom"/>
            <w:shd w:val="clear" w:color="auto" w:fill="CCEEFF"/>
          </w:tcPr>
          <w:p>
            <w:pPr>
              <w:spacing w:after="0"/>
              <w:rPr>
                <w:sz w:val="18"/>
                <w:szCs w:val="18"/>
                <w:color w:val="auto"/>
              </w:rPr>
            </w:pPr>
          </w:p>
        </w:tc>
        <w:tc>
          <w:tcPr>
            <w:tcW w:w="3180" w:type="dxa"/>
            <w:vAlign w:val="bottom"/>
            <w:shd w:val="clear" w:color="auto" w:fill="CCEEFF"/>
          </w:tcPr>
          <w:p>
            <w:pPr>
              <w:ind w:left="80"/>
              <w:spacing w:after="0"/>
              <w:rPr>
                <w:sz w:val="20"/>
                <w:szCs w:val="20"/>
                <w:color w:val="auto"/>
              </w:rPr>
            </w:pPr>
            <w:r>
              <w:rPr>
                <w:rFonts w:ascii="Arial" w:cs="Arial" w:eastAsia="Arial" w:hAnsi="Arial"/>
                <w:sz w:val="18"/>
                <w:szCs w:val="18"/>
                <w:color w:val="auto"/>
              </w:rPr>
              <w:t>Cost of services and fulfillment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20" w:type="dxa"/>
            <w:vAlign w:val="bottom"/>
          </w:tcPr>
          <w:p>
            <w:pPr>
              <w:spacing w:after="0"/>
              <w:rPr>
                <w:sz w:val="20"/>
                <w:szCs w:val="20"/>
                <w:color w:val="auto"/>
              </w:rPr>
            </w:pPr>
            <w:r>
              <w:rPr>
                <w:rFonts w:ascii="Arial" w:cs="Arial" w:eastAsia="Arial" w:hAnsi="Arial"/>
                <w:sz w:val="18"/>
                <w:szCs w:val="18"/>
                <w:color w:val="auto"/>
              </w:rPr>
              <w:t>Selling and marketing</w:t>
            </w: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4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33,392</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00" w:type="dxa"/>
            <w:vAlign w:val="bottom"/>
          </w:tcPr>
          <w:p>
            <w:pPr>
              <w:ind w:left="160"/>
              <w:spacing w:after="0"/>
              <w:rPr>
                <w:sz w:val="20"/>
                <w:szCs w:val="20"/>
                <w:color w:val="auto"/>
              </w:rPr>
            </w:pPr>
            <w:r>
              <w:rPr>
                <w:rFonts w:ascii="Arial" w:cs="Arial" w:eastAsia="Arial" w:hAnsi="Arial"/>
                <w:sz w:val="18"/>
                <w:szCs w:val="18"/>
                <w:color w:val="auto"/>
              </w:rPr>
              <w:t>b</w:t>
            </w: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w w:val="87"/>
              </w:rPr>
              <w:t>33,392</w:t>
            </w:r>
          </w:p>
        </w:tc>
        <w:tc>
          <w:tcPr>
            <w:tcW w:w="120" w:type="dxa"/>
            <w:vAlign w:val="bottom"/>
          </w:tcPr>
          <w:p>
            <w:pPr>
              <w:spacing w:after="0"/>
              <w:rPr>
                <w:sz w:val="18"/>
                <w:szCs w:val="18"/>
                <w:color w:val="auto"/>
              </w:rPr>
            </w:pPr>
          </w:p>
        </w:tc>
        <w:tc>
          <w:tcPr>
            <w:tcW w:w="3180" w:type="dxa"/>
            <w:vAlign w:val="bottom"/>
          </w:tcPr>
          <w:p>
            <w:pPr>
              <w:ind w:left="80"/>
              <w:spacing w:after="0"/>
              <w:rPr>
                <w:sz w:val="20"/>
                <w:szCs w:val="20"/>
                <w:color w:val="auto"/>
              </w:rPr>
            </w:pPr>
            <w:r>
              <w:rPr>
                <w:rFonts w:ascii="Arial" w:cs="Arial" w:eastAsia="Arial" w:hAnsi="Arial"/>
                <w:sz w:val="18"/>
                <w:szCs w:val="18"/>
                <w:color w:val="auto"/>
              </w:rPr>
              <w:t>Selling and marketing</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20" w:type="dxa"/>
            <w:vAlign w:val="bottom"/>
            <w:shd w:val="clear" w:color="auto" w:fill="CCEEFF"/>
          </w:tcPr>
          <w:p>
            <w:pPr>
              <w:spacing w:after="0"/>
              <w:rPr>
                <w:sz w:val="20"/>
                <w:szCs w:val="20"/>
                <w:color w:val="auto"/>
              </w:rPr>
            </w:pPr>
            <w:r>
              <w:rPr>
                <w:rFonts w:ascii="Arial" w:cs="Arial" w:eastAsia="Arial" w:hAnsi="Arial"/>
                <w:sz w:val="18"/>
                <w:szCs w:val="18"/>
                <w:color w:val="auto"/>
              </w:rPr>
              <w:t>General and administrative</w:t>
            </w: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16,129</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b</w:t>
            </w: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16,129</w:t>
            </w:r>
          </w:p>
        </w:tc>
        <w:tc>
          <w:tcPr>
            <w:tcW w:w="120" w:type="dxa"/>
            <w:vAlign w:val="bottom"/>
            <w:shd w:val="clear" w:color="auto" w:fill="CCEEFF"/>
          </w:tcPr>
          <w:p>
            <w:pPr>
              <w:spacing w:after="0"/>
              <w:rPr>
                <w:sz w:val="18"/>
                <w:szCs w:val="18"/>
                <w:color w:val="auto"/>
              </w:rPr>
            </w:pPr>
          </w:p>
        </w:tc>
        <w:tc>
          <w:tcPr>
            <w:tcW w:w="3180" w:type="dxa"/>
            <w:vAlign w:val="bottom"/>
            <w:shd w:val="clear" w:color="auto" w:fill="CCEEFF"/>
          </w:tcPr>
          <w:p>
            <w:pPr>
              <w:ind w:left="80"/>
              <w:spacing w:after="0"/>
              <w:rPr>
                <w:sz w:val="20"/>
                <w:szCs w:val="20"/>
                <w:color w:val="auto"/>
              </w:rPr>
            </w:pPr>
            <w:r>
              <w:rPr>
                <w:rFonts w:ascii="Arial" w:cs="Arial" w:eastAsia="Arial" w:hAnsi="Arial"/>
                <w:sz w:val="18"/>
                <w:szCs w:val="18"/>
                <w:color w:val="auto"/>
              </w:rPr>
              <w:t>General and administrative</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20" w:type="dxa"/>
            <w:vAlign w:val="bottom"/>
          </w:tcPr>
          <w:p>
            <w:pPr>
              <w:spacing w:after="0"/>
              <w:rPr>
                <w:sz w:val="20"/>
                <w:szCs w:val="20"/>
                <w:color w:val="auto"/>
              </w:rPr>
            </w:pPr>
            <w:r>
              <w:rPr>
                <w:rFonts w:ascii="Arial" w:cs="Arial" w:eastAsia="Arial" w:hAnsi="Arial"/>
                <w:sz w:val="18"/>
                <w:szCs w:val="18"/>
                <w:color w:val="auto"/>
              </w:rPr>
              <w:t>Selling, general and administrative</w:t>
            </w: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51,835</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20" w:type="dxa"/>
            <w:vAlign w:val="bottom"/>
            <w:gridSpan w:val="2"/>
          </w:tcPr>
          <w:p>
            <w:pPr>
              <w:jc w:val="right"/>
              <w:ind w:right="80"/>
              <w:spacing w:after="0"/>
              <w:rPr>
                <w:sz w:val="20"/>
                <w:szCs w:val="20"/>
                <w:color w:val="auto"/>
              </w:rPr>
            </w:pPr>
            <w:r>
              <w:rPr>
                <w:rFonts w:ascii="Arial" w:cs="Arial" w:eastAsia="Arial" w:hAnsi="Arial"/>
                <w:sz w:val="18"/>
                <w:szCs w:val="18"/>
                <w:color w:val="auto"/>
              </w:rPr>
              <w:t>(51,835)</w:t>
            </w:r>
          </w:p>
        </w:tc>
        <w:tc>
          <w:tcPr>
            <w:tcW w:w="80" w:type="dxa"/>
            <w:vAlign w:val="bottom"/>
          </w:tcPr>
          <w:p>
            <w:pPr>
              <w:spacing w:after="0"/>
              <w:rPr>
                <w:sz w:val="18"/>
                <w:szCs w:val="18"/>
                <w:color w:val="auto"/>
              </w:rPr>
            </w:pPr>
          </w:p>
        </w:tc>
        <w:tc>
          <w:tcPr>
            <w:tcW w:w="300" w:type="dxa"/>
            <w:vAlign w:val="bottom"/>
          </w:tcPr>
          <w:p>
            <w:pPr>
              <w:ind w:left="160"/>
              <w:spacing w:after="0"/>
              <w:rPr>
                <w:sz w:val="20"/>
                <w:szCs w:val="20"/>
                <w:color w:val="auto"/>
              </w:rPr>
            </w:pPr>
            <w:r>
              <w:rPr>
                <w:rFonts w:ascii="Arial" w:cs="Arial" w:eastAsia="Arial" w:hAnsi="Arial"/>
                <w:sz w:val="18"/>
                <w:szCs w:val="18"/>
                <w:color w:val="auto"/>
              </w:rPr>
              <w:t>b</w:t>
            </w: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180" w:type="dxa"/>
            <w:vAlign w:val="bottom"/>
          </w:tcPr>
          <w:p>
            <w:pPr>
              <w:ind w:left="80"/>
              <w:spacing w:after="0"/>
              <w:rPr>
                <w:sz w:val="20"/>
                <w:szCs w:val="20"/>
                <w:color w:val="auto"/>
              </w:rPr>
            </w:pPr>
            <w:r>
              <w:rPr>
                <w:rFonts w:ascii="Arial" w:cs="Arial" w:eastAsia="Arial" w:hAnsi="Arial"/>
                <w:sz w:val="18"/>
                <w:szCs w:val="18"/>
                <w:color w:val="auto"/>
              </w:rPr>
              <w:t>Selling, general and administrative</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20" w:type="dxa"/>
            <w:vAlign w:val="bottom"/>
            <w:shd w:val="clear" w:color="auto" w:fill="CCEEFF"/>
          </w:tcPr>
          <w:p>
            <w:pPr>
              <w:spacing w:after="0"/>
              <w:rPr>
                <w:sz w:val="20"/>
                <w:szCs w:val="20"/>
                <w:color w:val="auto"/>
              </w:rPr>
            </w:pPr>
            <w:r>
              <w:rPr>
                <w:rFonts w:ascii="Arial" w:cs="Arial" w:eastAsia="Arial" w:hAnsi="Arial"/>
                <w:sz w:val="18"/>
                <w:szCs w:val="18"/>
                <w:color w:val="auto"/>
              </w:rPr>
              <w:t>Depreciation</w:t>
            </w: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736</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c</w:t>
            </w: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736</w:t>
            </w:r>
          </w:p>
        </w:tc>
        <w:tc>
          <w:tcPr>
            <w:tcW w:w="120" w:type="dxa"/>
            <w:vAlign w:val="bottom"/>
            <w:shd w:val="clear" w:color="auto" w:fill="CCEEFF"/>
          </w:tcPr>
          <w:p>
            <w:pPr>
              <w:spacing w:after="0"/>
              <w:rPr>
                <w:sz w:val="18"/>
                <w:szCs w:val="18"/>
                <w:color w:val="auto"/>
              </w:rPr>
            </w:pPr>
          </w:p>
        </w:tc>
        <w:tc>
          <w:tcPr>
            <w:tcW w:w="3180" w:type="dxa"/>
            <w:vAlign w:val="bottom"/>
            <w:shd w:val="clear" w:color="auto" w:fill="CCEEFF"/>
          </w:tcPr>
          <w:p>
            <w:pPr>
              <w:ind w:left="80"/>
              <w:spacing w:after="0"/>
              <w:rPr>
                <w:sz w:val="20"/>
                <w:szCs w:val="20"/>
                <w:color w:val="auto"/>
              </w:rPr>
            </w:pPr>
            <w:r>
              <w:rPr>
                <w:rFonts w:ascii="Arial" w:cs="Arial" w:eastAsia="Arial" w:hAnsi="Arial"/>
                <w:sz w:val="18"/>
                <w:szCs w:val="18"/>
                <w:color w:val="auto"/>
              </w:rPr>
              <w:t>Depreciation</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20" w:type="dxa"/>
            <w:vAlign w:val="bottom"/>
          </w:tcPr>
          <w:p>
            <w:pPr>
              <w:spacing w:after="0"/>
              <w:rPr>
                <w:sz w:val="20"/>
                <w:szCs w:val="20"/>
                <w:color w:val="auto"/>
              </w:rPr>
            </w:pPr>
            <w:r>
              <w:rPr>
                <w:rFonts w:ascii="Arial" w:cs="Arial" w:eastAsia="Arial" w:hAnsi="Arial"/>
                <w:sz w:val="18"/>
                <w:szCs w:val="18"/>
                <w:color w:val="auto"/>
              </w:rPr>
              <w:t>Amortization of intangible assets</w:t>
            </w: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4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1,169</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00" w:type="dxa"/>
            <w:vAlign w:val="bottom"/>
          </w:tcPr>
          <w:p>
            <w:pPr>
              <w:ind w:left="160"/>
              <w:spacing w:after="0"/>
              <w:rPr>
                <w:sz w:val="20"/>
                <w:szCs w:val="20"/>
                <w:color w:val="auto"/>
              </w:rPr>
            </w:pPr>
            <w:r>
              <w:rPr>
                <w:rFonts w:ascii="Arial" w:cs="Arial" w:eastAsia="Arial" w:hAnsi="Arial"/>
                <w:sz w:val="18"/>
                <w:szCs w:val="18"/>
                <w:color w:val="auto"/>
              </w:rPr>
              <w:t>c</w:t>
            </w: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1,169</w:t>
            </w:r>
          </w:p>
        </w:tc>
        <w:tc>
          <w:tcPr>
            <w:tcW w:w="120" w:type="dxa"/>
            <w:vAlign w:val="bottom"/>
          </w:tcPr>
          <w:p>
            <w:pPr>
              <w:spacing w:after="0"/>
              <w:rPr>
                <w:sz w:val="18"/>
                <w:szCs w:val="18"/>
                <w:color w:val="auto"/>
              </w:rPr>
            </w:pPr>
          </w:p>
        </w:tc>
        <w:tc>
          <w:tcPr>
            <w:tcW w:w="3180" w:type="dxa"/>
            <w:vAlign w:val="bottom"/>
          </w:tcPr>
          <w:p>
            <w:pPr>
              <w:ind w:left="80"/>
              <w:spacing w:after="0"/>
              <w:rPr>
                <w:sz w:val="20"/>
                <w:szCs w:val="20"/>
                <w:color w:val="auto"/>
              </w:rPr>
            </w:pPr>
            <w:r>
              <w:rPr>
                <w:rFonts w:ascii="Arial" w:cs="Arial" w:eastAsia="Arial" w:hAnsi="Arial"/>
                <w:sz w:val="18"/>
                <w:szCs w:val="18"/>
                <w:color w:val="auto"/>
              </w:rPr>
              <w:t>Amortization of intangible assets</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20" w:type="dxa"/>
            <w:vAlign w:val="bottom"/>
            <w:shd w:val="clear" w:color="auto" w:fill="CCEEFF"/>
          </w:tcPr>
          <w:p>
            <w:pPr>
              <w:spacing w:after="0"/>
              <w:rPr>
                <w:sz w:val="20"/>
                <w:szCs w:val="20"/>
                <w:color w:val="auto"/>
              </w:rPr>
            </w:pPr>
            <w:r>
              <w:rPr>
                <w:rFonts w:ascii="Arial" w:cs="Arial" w:eastAsia="Arial" w:hAnsi="Arial"/>
                <w:sz w:val="18"/>
                <w:szCs w:val="18"/>
                <w:color w:val="auto"/>
              </w:rPr>
              <w:t>Depreciation and amortization</w:t>
            </w: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1,905</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(1,905)</w:t>
            </w:r>
          </w:p>
        </w:tc>
        <w:tc>
          <w:tcPr>
            <w:tcW w:w="80" w:type="dxa"/>
            <w:vAlign w:val="bottom"/>
            <w:shd w:val="clear" w:color="auto" w:fill="CCEEFF"/>
          </w:tcPr>
          <w:p>
            <w:pPr>
              <w:spacing w:after="0"/>
              <w:rPr>
                <w:sz w:val="18"/>
                <w:szCs w:val="18"/>
                <w:color w:val="auto"/>
              </w:rPr>
            </w:pPr>
          </w:p>
        </w:tc>
        <w:tc>
          <w:tcPr>
            <w:tcW w:w="3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c</w:t>
            </w: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1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420" w:type="dxa"/>
            <w:vAlign w:val="bottom"/>
          </w:tcPr>
          <w:p>
            <w:pPr>
              <w:spacing w:after="0"/>
              <w:rPr>
                <w:sz w:val="20"/>
                <w:szCs w:val="20"/>
                <w:color w:val="auto"/>
              </w:rPr>
            </w:pPr>
            <w:r>
              <w:rPr>
                <w:rFonts w:ascii="Arial" w:cs="Arial" w:eastAsia="Arial" w:hAnsi="Arial"/>
                <w:sz w:val="18"/>
                <w:szCs w:val="18"/>
                <w:color w:val="auto"/>
              </w:rPr>
              <w:t>Acquisition and integration costs</w:t>
            </w:r>
          </w:p>
        </w:tc>
        <w:tc>
          <w:tcPr>
            <w:tcW w:w="20" w:type="dxa"/>
            <w:vAlign w:val="bottom"/>
          </w:tcPr>
          <w:p>
            <w:pPr>
              <w:spacing w:after="0"/>
              <w:rPr>
                <w:sz w:val="19"/>
                <w:szCs w:val="19"/>
                <w:color w:val="auto"/>
              </w:rPr>
            </w:pPr>
          </w:p>
        </w:tc>
        <w:tc>
          <w:tcPr>
            <w:tcW w:w="6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1,468</w:t>
            </w: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00" w:type="dxa"/>
            <w:vAlign w:val="bottom"/>
          </w:tcPr>
          <w:p>
            <w:pPr>
              <w:ind w:left="160"/>
              <w:spacing w:after="0"/>
              <w:rPr>
                <w:sz w:val="20"/>
                <w:szCs w:val="20"/>
                <w:color w:val="auto"/>
              </w:rPr>
            </w:pPr>
            <w:r>
              <w:rPr>
                <w:rFonts w:ascii="Arial" w:cs="Arial" w:eastAsia="Arial" w:hAnsi="Arial"/>
                <w:sz w:val="18"/>
                <w:szCs w:val="18"/>
                <w:color w:val="auto"/>
              </w:rPr>
              <w:t>b</w:t>
            </w:r>
          </w:p>
        </w:tc>
        <w:tc>
          <w:tcPr>
            <w:tcW w:w="22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1,468</w:t>
            </w:r>
          </w:p>
        </w:tc>
        <w:tc>
          <w:tcPr>
            <w:tcW w:w="120" w:type="dxa"/>
            <w:vAlign w:val="bottom"/>
          </w:tcPr>
          <w:p>
            <w:pPr>
              <w:spacing w:after="0"/>
              <w:rPr>
                <w:sz w:val="19"/>
                <w:szCs w:val="19"/>
                <w:color w:val="auto"/>
              </w:rPr>
            </w:pPr>
          </w:p>
        </w:tc>
        <w:tc>
          <w:tcPr>
            <w:tcW w:w="3180" w:type="dxa"/>
            <w:vAlign w:val="bottom"/>
          </w:tcPr>
          <w:p>
            <w:pPr>
              <w:ind w:left="80"/>
              <w:spacing w:after="0"/>
              <w:rPr>
                <w:sz w:val="20"/>
                <w:szCs w:val="20"/>
                <w:color w:val="auto"/>
              </w:rPr>
            </w:pPr>
            <w:r>
              <w:rPr>
                <w:rFonts w:ascii="Arial" w:cs="Arial" w:eastAsia="Arial" w:hAnsi="Arial"/>
                <w:sz w:val="18"/>
                <w:szCs w:val="18"/>
                <w:color w:val="auto"/>
              </w:rPr>
              <w:t>Acquisition and integration costs</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Total costs and expenses</w:t>
            </w: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86,896</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86,896</w:t>
            </w:r>
          </w:p>
        </w:tc>
        <w:tc>
          <w:tcPr>
            <w:tcW w:w="120" w:type="dxa"/>
            <w:vAlign w:val="bottom"/>
            <w:shd w:val="clear" w:color="auto" w:fill="CCEEFF"/>
          </w:tcPr>
          <w:p>
            <w:pPr>
              <w:spacing w:after="0"/>
              <w:rPr>
                <w:sz w:val="18"/>
                <w:szCs w:val="18"/>
                <w:color w:val="auto"/>
              </w:rPr>
            </w:pPr>
          </w:p>
        </w:tc>
        <w:tc>
          <w:tcPr>
            <w:tcW w:w="3180" w:type="dxa"/>
            <w:vAlign w:val="bottom"/>
            <w:shd w:val="clear" w:color="auto" w:fill="CCEEFF"/>
          </w:tcPr>
          <w:p>
            <w:pPr>
              <w:ind w:left="440"/>
              <w:spacing w:after="0"/>
              <w:rPr>
                <w:sz w:val="20"/>
                <w:szCs w:val="20"/>
                <w:color w:val="auto"/>
              </w:rPr>
            </w:pPr>
            <w:r>
              <w:rPr>
                <w:rFonts w:ascii="Arial" w:cs="Arial" w:eastAsia="Arial" w:hAnsi="Arial"/>
                <w:sz w:val="18"/>
                <w:szCs w:val="18"/>
                <w:b w:val="1"/>
                <w:bCs w:val="1"/>
                <w:color w:val="auto"/>
              </w:rPr>
              <w:t>Total operating expenses</w:t>
            </w:r>
          </w:p>
        </w:tc>
        <w:tc>
          <w:tcPr>
            <w:tcW w:w="0" w:type="dxa"/>
            <w:vAlign w:val="bottom"/>
          </w:tcPr>
          <w:p>
            <w:pPr>
              <w:spacing w:after="0"/>
              <w:rPr>
                <w:sz w:val="1"/>
                <w:szCs w:val="1"/>
                <w:color w:val="auto"/>
              </w:rPr>
            </w:pPr>
          </w:p>
        </w:tc>
      </w:tr>
      <w:tr>
        <w:trPr>
          <w:trHeight w:val="223"/>
        </w:trPr>
        <w:tc>
          <w:tcPr>
            <w:tcW w:w="4440" w:type="dxa"/>
            <w:vAlign w:val="bottom"/>
            <w:gridSpan w:val="2"/>
          </w:tcPr>
          <w:p>
            <w:pPr>
              <w:spacing w:after="0"/>
              <w:rPr>
                <w:sz w:val="20"/>
                <w:szCs w:val="20"/>
                <w:color w:val="auto"/>
              </w:rPr>
            </w:pPr>
            <w:r>
              <w:rPr>
                <w:rFonts w:ascii="Arial" w:cs="Arial" w:eastAsia="Arial" w:hAnsi="Arial"/>
                <w:sz w:val="18"/>
                <w:szCs w:val="18"/>
                <w:color w:val="auto"/>
              </w:rPr>
              <w:t>Income from operations</w:t>
            </w:r>
          </w:p>
        </w:tc>
        <w:tc>
          <w:tcPr>
            <w:tcW w:w="20" w:type="dxa"/>
            <w:vAlign w:val="bottom"/>
          </w:tcPr>
          <w:p>
            <w:pPr>
              <w:spacing w:after="0"/>
              <w:rPr>
                <w:sz w:val="19"/>
                <w:szCs w:val="19"/>
                <w:color w:val="auto"/>
              </w:rPr>
            </w:pPr>
          </w:p>
        </w:tc>
        <w:tc>
          <w:tcPr>
            <w:tcW w:w="60" w:type="dxa"/>
            <w:vAlign w:val="bottom"/>
            <w:tcBorders>
              <w:top w:val="single" w:sz="8" w:color="auto"/>
            </w:tcBorders>
          </w:tcPr>
          <w:p>
            <w:pPr>
              <w:spacing w:after="0"/>
              <w:rPr>
                <w:sz w:val="19"/>
                <w:szCs w:val="19"/>
                <w:color w:val="auto"/>
              </w:rPr>
            </w:pPr>
          </w:p>
        </w:tc>
        <w:tc>
          <w:tcPr>
            <w:tcW w:w="7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2,625</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90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5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2,625</w:t>
            </w:r>
          </w:p>
        </w:tc>
        <w:tc>
          <w:tcPr>
            <w:tcW w:w="120" w:type="dxa"/>
            <w:vAlign w:val="bottom"/>
          </w:tcPr>
          <w:p>
            <w:pPr>
              <w:spacing w:after="0"/>
              <w:rPr>
                <w:sz w:val="19"/>
                <w:szCs w:val="19"/>
                <w:color w:val="auto"/>
              </w:rPr>
            </w:pPr>
          </w:p>
        </w:tc>
        <w:tc>
          <w:tcPr>
            <w:tcW w:w="3180" w:type="dxa"/>
            <w:vAlign w:val="bottom"/>
          </w:tcPr>
          <w:p>
            <w:pPr>
              <w:ind w:left="80"/>
              <w:spacing w:after="0"/>
              <w:rPr>
                <w:sz w:val="20"/>
                <w:szCs w:val="20"/>
                <w:color w:val="auto"/>
              </w:rPr>
            </w:pPr>
            <w:r>
              <w:rPr>
                <w:rFonts w:ascii="Arial" w:cs="Arial" w:eastAsia="Arial" w:hAnsi="Arial"/>
                <w:sz w:val="18"/>
                <w:szCs w:val="18"/>
                <w:color w:val="auto"/>
              </w:rPr>
              <w:t>Income from operations</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20" w:type="dxa"/>
            <w:vAlign w:val="bottom"/>
            <w:shd w:val="clear" w:color="auto" w:fill="CCEEFF"/>
          </w:tcPr>
          <w:p>
            <w:pPr>
              <w:spacing w:after="0"/>
              <w:rPr>
                <w:sz w:val="20"/>
                <w:szCs w:val="20"/>
                <w:color w:val="auto"/>
              </w:rPr>
            </w:pPr>
            <w:r>
              <w:rPr>
                <w:rFonts w:ascii="Arial" w:cs="Arial" w:eastAsia="Arial" w:hAnsi="Arial"/>
                <w:sz w:val="18"/>
                <w:szCs w:val="18"/>
                <w:color w:val="auto"/>
              </w:rPr>
              <w:t>Other expense, net</w:t>
            </w: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(365)</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(365)</w:t>
            </w:r>
          </w:p>
        </w:tc>
        <w:tc>
          <w:tcPr>
            <w:tcW w:w="3180" w:type="dxa"/>
            <w:vAlign w:val="bottom"/>
            <w:shd w:val="clear" w:color="auto" w:fill="CCEEFF"/>
          </w:tcPr>
          <w:p>
            <w:pPr>
              <w:ind w:left="80"/>
              <w:spacing w:after="0"/>
              <w:rPr>
                <w:sz w:val="20"/>
                <w:szCs w:val="20"/>
                <w:color w:val="auto"/>
              </w:rPr>
            </w:pPr>
            <w:r>
              <w:rPr>
                <w:rFonts w:ascii="Arial" w:cs="Arial" w:eastAsia="Arial" w:hAnsi="Arial"/>
                <w:sz w:val="18"/>
                <w:szCs w:val="18"/>
                <w:color w:val="auto"/>
              </w:rPr>
              <w:t>Other income (expense), net</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420" w:type="dxa"/>
            <w:vAlign w:val="bottom"/>
          </w:tcPr>
          <w:p>
            <w:pPr>
              <w:ind w:left="340"/>
              <w:spacing w:after="0"/>
              <w:rPr>
                <w:sz w:val="20"/>
                <w:szCs w:val="20"/>
                <w:color w:val="auto"/>
              </w:rPr>
            </w:pPr>
            <w:r>
              <w:rPr>
                <w:rFonts w:ascii="Arial" w:cs="Arial" w:eastAsia="Arial" w:hAnsi="Arial"/>
                <w:sz w:val="18"/>
                <w:szCs w:val="18"/>
                <w:color w:val="auto"/>
              </w:rPr>
              <w:t>Income before income taxes</w:t>
            </w:r>
          </w:p>
        </w:tc>
        <w:tc>
          <w:tcPr>
            <w:tcW w:w="20" w:type="dxa"/>
            <w:vAlign w:val="bottom"/>
          </w:tcPr>
          <w:p>
            <w:pPr>
              <w:spacing w:after="0"/>
              <w:rPr>
                <w:sz w:val="19"/>
                <w:szCs w:val="19"/>
                <w:color w:val="auto"/>
              </w:rPr>
            </w:pPr>
          </w:p>
        </w:tc>
        <w:tc>
          <w:tcPr>
            <w:tcW w:w="60" w:type="dxa"/>
            <w:vAlign w:val="bottom"/>
            <w:tcBorders>
              <w:top w:val="single" w:sz="8" w:color="auto"/>
            </w:tcBorders>
          </w:tcPr>
          <w:p>
            <w:pPr>
              <w:spacing w:after="0"/>
              <w:rPr>
                <w:sz w:val="19"/>
                <w:szCs w:val="19"/>
                <w:color w:val="auto"/>
              </w:rPr>
            </w:pPr>
          </w:p>
        </w:tc>
        <w:tc>
          <w:tcPr>
            <w:tcW w:w="7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2,260</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90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5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2,260</w:t>
            </w:r>
          </w:p>
        </w:tc>
        <w:tc>
          <w:tcPr>
            <w:tcW w:w="120" w:type="dxa"/>
            <w:vAlign w:val="bottom"/>
          </w:tcPr>
          <w:p>
            <w:pPr>
              <w:spacing w:after="0"/>
              <w:rPr>
                <w:sz w:val="19"/>
                <w:szCs w:val="19"/>
                <w:color w:val="auto"/>
              </w:rPr>
            </w:pPr>
          </w:p>
        </w:tc>
        <w:tc>
          <w:tcPr>
            <w:tcW w:w="3180" w:type="dxa"/>
            <w:vAlign w:val="bottom"/>
          </w:tcPr>
          <w:p>
            <w:pPr>
              <w:ind w:left="440"/>
              <w:spacing w:after="0"/>
              <w:rPr>
                <w:sz w:val="20"/>
                <w:szCs w:val="20"/>
                <w:color w:val="auto"/>
              </w:rPr>
            </w:pPr>
            <w:r>
              <w:rPr>
                <w:rFonts w:ascii="Arial" w:cs="Arial" w:eastAsia="Arial" w:hAnsi="Arial"/>
                <w:sz w:val="18"/>
                <w:szCs w:val="18"/>
                <w:b w:val="1"/>
                <w:bCs w:val="1"/>
                <w:color w:val="auto"/>
              </w:rPr>
              <w:t>Income before income taxes</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20" w:type="dxa"/>
            <w:vAlign w:val="bottom"/>
            <w:shd w:val="clear" w:color="auto" w:fill="CCEEFF"/>
          </w:tcPr>
          <w:p>
            <w:pPr>
              <w:spacing w:after="0"/>
              <w:rPr>
                <w:sz w:val="20"/>
                <w:szCs w:val="20"/>
                <w:color w:val="auto"/>
              </w:rPr>
            </w:pPr>
            <w:r>
              <w:rPr>
                <w:rFonts w:ascii="Arial" w:cs="Arial" w:eastAsia="Arial" w:hAnsi="Arial"/>
                <w:sz w:val="18"/>
                <w:szCs w:val="18"/>
                <w:color w:val="auto"/>
              </w:rPr>
              <w:t>Income tax expense</w:t>
            </w: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180" w:type="dxa"/>
            <w:vAlign w:val="bottom"/>
            <w:shd w:val="clear" w:color="auto" w:fill="CCEEFF"/>
          </w:tcPr>
          <w:p>
            <w:pPr>
              <w:ind w:left="80"/>
              <w:spacing w:after="0"/>
              <w:rPr>
                <w:sz w:val="20"/>
                <w:szCs w:val="20"/>
                <w:color w:val="auto"/>
              </w:rPr>
            </w:pPr>
            <w:r>
              <w:rPr>
                <w:rFonts w:ascii="Arial" w:cs="Arial" w:eastAsia="Arial" w:hAnsi="Arial"/>
                <w:sz w:val="18"/>
                <w:szCs w:val="18"/>
                <w:color w:val="auto"/>
              </w:rPr>
              <w:t>Income tax expense</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420" w:type="dxa"/>
            <w:vAlign w:val="bottom"/>
          </w:tcPr>
          <w:p>
            <w:pPr>
              <w:ind w:left="340"/>
              <w:spacing w:after="0"/>
              <w:rPr>
                <w:sz w:val="20"/>
                <w:szCs w:val="20"/>
                <w:color w:val="auto"/>
              </w:rPr>
            </w:pPr>
            <w:r>
              <w:rPr>
                <w:rFonts w:ascii="Arial" w:cs="Arial" w:eastAsia="Arial" w:hAnsi="Arial"/>
                <w:sz w:val="18"/>
                <w:szCs w:val="18"/>
                <w:b w:val="1"/>
                <w:bCs w:val="1"/>
                <w:color w:val="auto"/>
              </w:rPr>
              <w:t>Net income</w:t>
            </w:r>
          </w:p>
        </w:tc>
        <w:tc>
          <w:tcPr>
            <w:tcW w:w="20" w:type="dxa"/>
            <w:vAlign w:val="bottom"/>
            <w:tcBorders>
              <w:bottom w:val="single" w:sz="8" w:color="auto"/>
            </w:tcBorders>
          </w:tcPr>
          <w:p>
            <w:pPr>
              <w:spacing w:after="0"/>
              <w:rPr>
                <w:sz w:val="19"/>
                <w:szCs w:val="19"/>
                <w:color w:val="auto"/>
              </w:rPr>
            </w:pPr>
          </w:p>
        </w:tc>
        <w:tc>
          <w:tcPr>
            <w:tcW w:w="60" w:type="dxa"/>
            <w:vAlign w:val="bottom"/>
            <w:tcBorders>
              <w:top w:val="single" w:sz="8" w:color="auto"/>
              <w:bottom w:val="single" w:sz="8" w:color="auto"/>
            </w:tcBorders>
          </w:tcPr>
          <w:p>
            <w:pPr>
              <w:spacing w:after="0"/>
              <w:rPr>
                <w:sz w:val="20"/>
                <w:szCs w:val="20"/>
                <w:color w:val="auto"/>
              </w:rPr>
            </w:pPr>
            <w:r>
              <w:rPr>
                <w:rFonts w:ascii="Arial" w:cs="Arial" w:eastAsia="Arial" w:hAnsi="Arial"/>
                <w:sz w:val="10"/>
                <w:szCs w:val="10"/>
                <w:color w:val="auto"/>
                <w:w w:val="71"/>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2,260</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0" w:type="dxa"/>
            <w:vAlign w:val="bottom"/>
            <w:tcBorders>
              <w:top w:val="single" w:sz="8" w:color="auto"/>
              <w:bottom w:val="single" w:sz="8" w:color="auto"/>
            </w:tcBorders>
          </w:tcPr>
          <w:p>
            <w:pPr>
              <w:spacing w:after="0"/>
              <w:rPr>
                <w:sz w:val="20"/>
                <w:szCs w:val="20"/>
                <w:color w:val="auto"/>
              </w:rPr>
            </w:pPr>
            <w:r>
              <w:rPr>
                <w:rFonts w:ascii="Arial" w:cs="Arial" w:eastAsia="Arial" w:hAnsi="Arial"/>
                <w:sz w:val="15"/>
                <w:szCs w:val="15"/>
                <w:color w:val="auto"/>
                <w:w w:val="71"/>
              </w:rPr>
              <w:t>$</w:t>
            </w:r>
          </w:p>
        </w:tc>
        <w:tc>
          <w:tcPr>
            <w:tcW w:w="5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2,260</w:t>
            </w:r>
          </w:p>
        </w:tc>
        <w:tc>
          <w:tcPr>
            <w:tcW w:w="120" w:type="dxa"/>
            <w:vAlign w:val="bottom"/>
          </w:tcPr>
          <w:p>
            <w:pPr>
              <w:spacing w:after="0"/>
              <w:rPr>
                <w:sz w:val="19"/>
                <w:szCs w:val="19"/>
                <w:color w:val="auto"/>
              </w:rPr>
            </w:pPr>
          </w:p>
        </w:tc>
        <w:tc>
          <w:tcPr>
            <w:tcW w:w="3180" w:type="dxa"/>
            <w:vAlign w:val="bottom"/>
          </w:tcPr>
          <w:p>
            <w:pPr>
              <w:ind w:left="440"/>
              <w:spacing w:after="0"/>
              <w:rPr>
                <w:sz w:val="20"/>
                <w:szCs w:val="20"/>
                <w:color w:val="auto"/>
              </w:rPr>
            </w:pPr>
            <w:r>
              <w:rPr>
                <w:rFonts w:ascii="Arial" w:cs="Arial" w:eastAsia="Arial" w:hAnsi="Arial"/>
                <w:sz w:val="18"/>
                <w:szCs w:val="18"/>
                <w:b w:val="1"/>
                <w:bCs w:val="1"/>
                <w:color w:val="auto"/>
              </w:rPr>
              <w:t>Net income</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4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2"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p>
    <w:p>
      <w:pPr>
        <w:ind w:left="440" w:hanging="436"/>
        <w:spacing w:after="0"/>
        <w:tabs>
          <w:tab w:leader="none" w:pos="440" w:val="left"/>
        </w:tabs>
        <w:numPr>
          <w:ilvl w:val="0"/>
          <w:numId w:val="28"/>
        </w:numPr>
        <w:rPr>
          <w:rFonts w:ascii="Arial" w:cs="Arial" w:eastAsia="Arial" w:hAnsi="Arial"/>
          <w:sz w:val="18"/>
          <w:szCs w:val="18"/>
          <w:color w:val="auto"/>
        </w:rPr>
      </w:pPr>
      <w:r>
        <w:rPr>
          <w:rFonts w:ascii="Arial" w:cs="Arial" w:eastAsia="Arial" w:hAnsi="Arial"/>
          <w:sz w:val="18"/>
          <w:szCs w:val="18"/>
          <w:color w:val="auto"/>
        </w:rPr>
        <w:t>Reclassification of the revenue amount into separate revenue categories.</w:t>
      </w:r>
    </w:p>
    <w:p>
      <w:pPr>
        <w:spacing w:after="0" w:line="23" w:lineRule="exact"/>
        <w:rPr>
          <w:rFonts w:ascii="Arial" w:cs="Arial" w:eastAsia="Arial" w:hAnsi="Arial"/>
          <w:sz w:val="18"/>
          <w:szCs w:val="18"/>
          <w:color w:val="auto"/>
        </w:rPr>
      </w:pPr>
    </w:p>
    <w:p>
      <w:pPr>
        <w:ind w:left="440" w:right="620" w:hanging="436"/>
        <w:spacing w:after="0" w:line="281" w:lineRule="auto"/>
        <w:tabs>
          <w:tab w:leader="none" w:pos="440" w:val="left"/>
        </w:tabs>
        <w:numPr>
          <w:ilvl w:val="0"/>
          <w:numId w:val="28"/>
        </w:numPr>
        <w:rPr>
          <w:rFonts w:ascii="Arial" w:cs="Arial" w:eastAsia="Arial" w:hAnsi="Arial"/>
          <w:sz w:val="16"/>
          <w:szCs w:val="16"/>
          <w:color w:val="auto"/>
        </w:rPr>
      </w:pPr>
      <w:r>
        <w:rPr>
          <w:rFonts w:ascii="Arial" w:cs="Arial" w:eastAsia="Arial" w:hAnsi="Arial"/>
          <w:sz w:val="16"/>
          <w:szCs w:val="16"/>
          <w:color w:val="auto"/>
        </w:rPr>
        <w:t>Reclassification of “Selling, general and administrative” account into separate “Cost of services and fulfillment”, “Selling and marketing”, “General and administrative” and “Acquisition and integration costs” accounts and allocation of rent expense from “Selling and general administrative” account into “Cost of services and fulfillment”, “Selling and marketing” and “General and administrative” accounts.</w:t>
      </w:r>
    </w:p>
    <w:p>
      <w:pPr>
        <w:spacing w:after="0" w:line="2" w:lineRule="exact"/>
        <w:rPr>
          <w:rFonts w:ascii="Arial" w:cs="Arial" w:eastAsia="Arial" w:hAnsi="Arial"/>
          <w:sz w:val="16"/>
          <w:szCs w:val="16"/>
          <w:color w:val="auto"/>
        </w:rPr>
      </w:pPr>
    </w:p>
    <w:p>
      <w:pPr>
        <w:ind w:left="440" w:hanging="436"/>
        <w:spacing w:after="0"/>
        <w:tabs>
          <w:tab w:leader="none" w:pos="440" w:val="left"/>
        </w:tabs>
        <w:numPr>
          <w:ilvl w:val="0"/>
          <w:numId w:val="28"/>
        </w:numPr>
        <w:rPr>
          <w:rFonts w:ascii="Arial" w:cs="Arial" w:eastAsia="Arial" w:hAnsi="Arial"/>
          <w:sz w:val="18"/>
          <w:szCs w:val="18"/>
          <w:color w:val="auto"/>
        </w:rPr>
      </w:pPr>
      <w:r>
        <w:rPr>
          <w:rFonts w:ascii="Arial" w:cs="Arial" w:eastAsia="Arial" w:hAnsi="Arial"/>
          <w:sz w:val="18"/>
          <w:szCs w:val="18"/>
          <w:color w:val="auto"/>
        </w:rPr>
        <w:t>Reclassification of the depreciation and amortization expense into separate categories.</w:t>
      </w:r>
    </w:p>
    <w:p>
      <w:pPr>
        <w:spacing w:after="0" w:line="143"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15</w:t>
      </w:r>
    </w:p>
    <w:sectPr>
      <w:pgSz w:w="11900" w:h="16838" w:orient="portrait"/>
      <w:cols w:equalWidth="0" w:num="1">
        <w:col w:w="11040"/>
      </w:cols>
      <w:pgMar w:left="440" w:top="253" w:right="41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FDCC233"/>
    <w:multiLevelType w:val="hybridMultilevel"/>
    <w:lvl w:ilvl="0">
      <w:lvlJc w:val="left"/>
      <w:lvlText w:val="☐"/>
      <w:numFmt w:val="bullet"/>
      <w:start w:val="1"/>
    </w:lvl>
  </w:abstractNum>
  <w:abstractNum w:abstractNumId="1">
    <w:nsid w:val="1BEFD79F"/>
    <w:multiLevelType w:val="hybridMultilevel"/>
    <w:lvl w:ilvl="0">
      <w:lvlJc w:val="left"/>
      <w:lvlText w:val="(%1)"/>
      <w:numFmt w:val="lowerLetter"/>
      <w:start w:val="1"/>
    </w:lvl>
  </w:abstractNum>
  <w:abstractNum w:abstractNumId="2">
    <w:nsid w:val="41A7C4C9"/>
    <w:multiLevelType w:val="hybridMultilevel"/>
    <w:lvl w:ilvl="0">
      <w:lvlJc w:val="left"/>
      <w:lvlText w:val="(%1)"/>
      <w:numFmt w:val="lowerLetter"/>
      <w:start w:val="2"/>
    </w:lvl>
  </w:abstractNum>
  <w:abstractNum w:abstractNumId="3">
    <w:nsid w:val="6B68079A"/>
    <w:multiLevelType w:val="hybridMultilevel"/>
    <w:lvl w:ilvl="0">
      <w:lvlJc w:val="left"/>
      <w:lvlText w:val="(%1)"/>
      <w:numFmt w:val="lowerLetter"/>
      <w:start w:val="4"/>
    </w:lvl>
  </w:abstractNum>
  <w:abstractNum w:abstractNumId="4">
    <w:nsid w:val="4E6AFB66"/>
    <w:multiLevelType w:val="hybridMultilevel"/>
    <w:lvl w:ilvl="0">
      <w:lvlJc w:val="left"/>
      <w:lvlText w:val="%1."/>
      <w:numFmt w:val="decimal"/>
      <w:start w:val="1"/>
    </w:lvl>
  </w:abstractNum>
  <w:abstractNum w:abstractNumId="5">
    <w:nsid w:val="25E45D32"/>
    <w:multiLevelType w:val="hybridMultilevel"/>
    <w:lvl w:ilvl="0">
      <w:lvlJc w:val="left"/>
      <w:lvlText w:val="(%1)"/>
      <w:numFmt w:val="decimal"/>
      <w:start w:val="5"/>
    </w:lvl>
  </w:abstractNum>
  <w:abstractNum w:abstractNumId="6">
    <w:nsid w:val="519B500D"/>
    <w:multiLevelType w:val="hybridMultilevel"/>
    <w:lvl w:ilvl="0">
      <w:lvlJc w:val="left"/>
      <w:lvlText w:val="%1."/>
      <w:numFmt w:val="decimal"/>
      <w:start w:val="4"/>
    </w:lvl>
  </w:abstractNum>
  <w:abstractNum w:abstractNumId="7">
    <w:nsid w:val="431BD7B7"/>
    <w:multiLevelType w:val="hybridMultilevel"/>
    <w:lvl w:ilvl="0">
      <w:lvlJc w:val="left"/>
      <w:lvlText w:val="%1."/>
      <w:numFmt w:val="decimal"/>
      <w:start w:val="6"/>
    </w:lvl>
  </w:abstractNum>
  <w:abstractNum w:abstractNumId="8">
    <w:nsid w:val="3F2DBA31"/>
    <w:multiLevelType w:val="hybridMultilevel"/>
    <w:lvl w:ilvl="0">
      <w:lvlJc w:val="left"/>
      <w:lvlText w:val="%1."/>
      <w:numFmt w:val="decimal"/>
      <w:start w:val="8"/>
    </w:lvl>
  </w:abstractNum>
  <w:abstractNum w:abstractNumId="9">
    <w:nsid w:val="7C83E458"/>
    <w:multiLevelType w:val="hybridMultilevel"/>
    <w:lvl w:ilvl="0">
      <w:lvlJc w:val="left"/>
      <w:lvlText w:val="%1."/>
      <w:numFmt w:val="decimal"/>
      <w:start w:val="9"/>
    </w:lvl>
  </w:abstractNum>
  <w:abstractNum w:abstractNumId="10">
    <w:nsid w:val="257130A3"/>
    <w:multiLevelType w:val="hybridMultilevel"/>
    <w:lvl w:ilvl="0">
      <w:lvlJc w:val="left"/>
      <w:lvlText w:val="%1."/>
      <w:numFmt w:val="decimal"/>
      <w:start w:val="1"/>
    </w:lvl>
  </w:abstractNum>
  <w:abstractNum w:abstractNumId="11">
    <w:nsid w:val="62BBD95A"/>
    <w:multiLevelType w:val="hybridMultilevel"/>
    <w:lvl w:ilvl="0">
      <w:lvlJc w:val="left"/>
      <w:lvlText w:val="(%1)"/>
      <w:numFmt w:val="decimal"/>
      <w:start w:val="5"/>
    </w:lvl>
  </w:abstractNum>
  <w:abstractNum w:abstractNumId="12">
    <w:nsid w:val="436C6125"/>
    <w:multiLevelType w:val="hybridMultilevel"/>
    <w:lvl w:ilvl="0">
      <w:lvlJc w:val="left"/>
      <w:lvlText w:val="%1."/>
      <w:numFmt w:val="decimal"/>
      <w:start w:val="3"/>
    </w:lvl>
  </w:abstractNum>
  <w:abstractNum w:abstractNumId="13">
    <w:nsid w:val="628C895D"/>
    <w:multiLevelType w:val="hybridMultilevel"/>
    <w:lvl w:ilvl="0">
      <w:lvlJc w:val="left"/>
      <w:lvlText w:val="%1."/>
      <w:numFmt w:val="decimal"/>
      <w:start w:val="6"/>
    </w:lvl>
  </w:abstractNum>
  <w:abstractNum w:abstractNumId="14">
    <w:nsid w:val="333AB105"/>
    <w:multiLevelType w:val="hybridMultilevel"/>
    <w:lvl w:ilvl="0">
      <w:lvlJc w:val="left"/>
      <w:lvlText w:val="•"/>
      <w:numFmt w:val="bullet"/>
      <w:start w:val="1"/>
    </w:lvl>
  </w:abstractNum>
  <w:abstractNum w:abstractNumId="15">
    <w:nsid w:val="721DA317"/>
    <w:multiLevelType w:val="hybridMultilevel"/>
    <w:lvl w:ilvl="0">
      <w:lvlJc w:val="left"/>
      <w:lvlText w:val="•"/>
      <w:numFmt w:val="bullet"/>
      <w:start w:val="1"/>
    </w:lvl>
  </w:abstractNum>
  <w:abstractNum w:abstractNumId="16">
    <w:nsid w:val="2443A858"/>
    <w:multiLevelType w:val="hybridMultilevel"/>
    <w:lvl w:ilvl="0">
      <w:lvlJc w:val="left"/>
      <w:lvlText w:val="(%1)"/>
      <w:numFmt w:val="decimal"/>
      <w:start w:val="1"/>
    </w:lvl>
  </w:abstractNum>
  <w:abstractNum w:abstractNumId="17">
    <w:nsid w:val="2D1D5AE9"/>
    <w:multiLevelType w:val="hybridMultilevel"/>
    <w:lvl w:ilvl="0">
      <w:lvlJc w:val="left"/>
      <w:lvlText w:val="(%1)"/>
      <w:numFmt w:val="decimal"/>
      <w:start w:val="1"/>
    </w:lvl>
  </w:abstractNum>
  <w:abstractNum w:abstractNumId="18">
    <w:nsid w:val="6763845E"/>
    <w:multiLevelType w:val="hybridMultilevel"/>
    <w:lvl w:ilvl="0">
      <w:lvlJc w:val="left"/>
      <w:lvlText w:val="(%1)"/>
      <w:numFmt w:val="decimal"/>
      <w:start w:val="1"/>
    </w:lvl>
  </w:abstractNum>
  <w:abstractNum w:abstractNumId="19">
    <w:nsid w:val="75A2A8D4"/>
    <w:multiLevelType w:val="hybridMultilevel"/>
    <w:lvl w:ilvl="0">
      <w:lvlJc w:val="left"/>
      <w:lvlText w:val="(%1)"/>
      <w:numFmt w:val="decimal"/>
      <w:start w:val="1"/>
    </w:lvl>
  </w:abstractNum>
  <w:abstractNum w:abstractNumId="20">
    <w:nsid w:val="8EDBDAB"/>
    <w:multiLevelType w:val="hybridMultilevel"/>
    <w:lvl w:ilvl="0">
      <w:lvlJc w:val="left"/>
      <w:lvlText w:val="$"/>
      <w:numFmt w:val="bullet"/>
      <w:start w:val="1"/>
    </w:lvl>
  </w:abstractNum>
  <w:abstractNum w:abstractNumId="21">
    <w:nsid w:val="79838CB2"/>
    <w:multiLevelType w:val="hybridMultilevel"/>
    <w:lvl w:ilvl="0">
      <w:lvlJc w:val="left"/>
      <w:lvlText w:val="$"/>
      <w:numFmt w:val="bullet"/>
      <w:start w:val="1"/>
    </w:lvl>
  </w:abstractNum>
  <w:abstractNum w:abstractNumId="22">
    <w:nsid w:val="4353D0CD"/>
    <w:multiLevelType w:val="hybridMultilevel"/>
    <w:lvl w:ilvl="0">
      <w:lvlJc w:val="left"/>
      <w:lvlText w:val="$"/>
      <w:numFmt w:val="bullet"/>
      <w:start w:val="1"/>
    </w:lvl>
  </w:abstractNum>
  <w:abstractNum w:abstractNumId="23">
    <w:nsid w:val="B03E0C6"/>
    <w:multiLevelType w:val="hybridMultilevel"/>
    <w:lvl w:ilvl="0">
      <w:lvlJc w:val="left"/>
      <w:lvlText w:val="(%1)"/>
      <w:numFmt w:val="decimal"/>
      <w:start w:val="1"/>
    </w:lvl>
  </w:abstractNum>
  <w:abstractNum w:abstractNumId="24">
    <w:nsid w:val="189A769B"/>
    <w:multiLevelType w:val="hybridMultilevel"/>
    <w:lvl w:ilvl="0">
      <w:lvlJc w:val="left"/>
      <w:lvlText w:val="(%1)"/>
      <w:numFmt w:val="lowerLetter"/>
      <w:start w:val="1"/>
    </w:lvl>
  </w:abstractNum>
  <w:abstractNum w:abstractNumId="25">
    <w:nsid w:val="54E49EB4"/>
    <w:multiLevelType w:val="hybridMultilevel"/>
    <w:lvl w:ilvl="0">
      <w:lvlJc w:val="left"/>
      <w:lvlText w:val="(%1)"/>
      <w:numFmt w:val="lowerLetter"/>
      <w:start w:val="1"/>
    </w:lvl>
  </w:abstractNum>
  <w:abstractNum w:abstractNumId="26">
    <w:nsid w:val="71F32454"/>
    <w:multiLevelType w:val="hybridMultilevel"/>
    <w:lvl w:ilvl="0">
      <w:lvlJc w:val="left"/>
      <w:lvlText w:val="(%1)"/>
      <w:numFmt w:val="lowerLetter"/>
      <w:start w:val="1"/>
    </w:lvl>
  </w:abstractNum>
  <w:abstractNum w:abstractNumId="27">
    <w:nsid w:val="2CA88611"/>
    <w:multiLevelType w:val="hybridMultilevel"/>
    <w:lvl w:ilvl="0">
      <w:lvlJc w:val="left"/>
      <w:lvlText w:val="(%1)"/>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2019-12-28T14:36:53Z</dcterms:created>
  <dcterms:modified xsi:type="dcterms:W3CDTF">2019-12-28T14:36:53Z</dcterms:modified>
</cp:coreProperties>
</file>