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Favre Christophe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FORRESTER RESEARCH,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 ACORN PARK DRIVE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CAMBRIDGE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02140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FORRESTER RESEARCH, INC.</w:t>
              </w:r>
            </w:hyperlink>
            <w:r>
              <w:rPr/>
              <w:t xml:space="preserve"> [ </w:t>
            </w:r>
            <w:r>
              <w:rPr>
                <w:rFonts w:ascii="Times;serif" w:hAnsi="Times;serif"/>
                <w:color w:val="0000FF"/>
                <w:sz w:val="24"/>
                <w:shd w:fill="FFFFFF" w:val="clear"/>
              </w:rPr>
              <w:t>FORR</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Sales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4"/>
        <w:gridCol w:w="905"/>
        <w:gridCol w:w="774"/>
        <w:gridCol w:w="601"/>
        <w:gridCol w:w="351"/>
        <w:gridCol w:w="812"/>
        <w:gridCol w:w="461"/>
        <w:gridCol w:w="759"/>
        <w:gridCol w:w="1174"/>
        <w:gridCol w:w="1006"/>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3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552</w:t>
            </w:r>
          </w:p>
        </w:tc>
        <w:tc>
          <w:tcPr>
            <w:tcW w:w="4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14,623</w:t>
            </w:r>
          </w:p>
        </w:tc>
        <w:tc>
          <w:tcPr>
            <w:tcW w:w="10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3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257</w:t>
            </w:r>
            <w:r>
              <w:rPr>
                <w:rFonts w:ascii="Times;serif" w:hAnsi="Times;serif"/>
                <w:color w:val="008000"/>
                <w:position w:val="7"/>
                <w:sz w:val="16"/>
                <w:sz w:val="20"/>
                <w:shd w:fill="FFFFFF" w:val="clear"/>
              </w:rPr>
              <w:t>(2)</w:t>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12.23</w:t>
            </w:r>
          </w:p>
        </w:tc>
        <w:tc>
          <w:tcPr>
            <w:tcW w:w="11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14,366</w:t>
            </w:r>
          </w:p>
        </w:tc>
        <w:tc>
          <w:tcPr>
            <w:tcW w:w="10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843"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302"/>
        <w:gridCol w:w="499"/>
        <w:gridCol w:w="906"/>
        <w:gridCol w:w="801"/>
        <w:gridCol w:w="891"/>
        <w:gridCol w:w="636"/>
        <w:gridCol w:w="801"/>
        <w:gridCol w:w="936"/>
        <w:gridCol w:w="831"/>
        <w:gridCol w:w="846"/>
      </w:tblGrid>
      <w:tr>
        <w:trPr>
          <w:tblHeader w:val="true"/>
        </w:trPr>
        <w:tc>
          <w:tcPr>
            <w:tcW w:w="1184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302"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99"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552</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552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552</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the conversion, upon vesting, of restricted stock units into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shares withheld by the Issuer to satisfy tax withholding obligations upon the vesting on September 1, 2026 of the restricted stock units awarded to the reporting person on September 1, 2023. The award includes a provision for the withholding of shares by the Issuer to satisfy withholding taxes due as a result of the vesting of the award.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Each Restricted Stock Unit represents the right to receive, following vesting, one share of Forrester Research, Inc.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On September 1, 2023, the reporting person was granted 2,210 Restricted Stock Units that vest and convert into common stock in four equal and consecutive installments beginning on the first anniversary of the grant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Maite Garcia, attorney-in-fact for Christophe Favre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10303" TargetMode="External"/><Relationship Id="rId5" Type="http://schemas.openxmlformats.org/officeDocument/2006/relationships/hyperlink" Target="http://www.sec.gov/cgi-bin/browse-edgar?action=getcompany&amp;CIK=000102331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721</Words>
  <Characters>3885</Characters>
  <CharactersWithSpaces>4515</CharactersWithSpaces>
  <Paragraphs>119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