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0001882029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99"/>
        <w:gridCol w:w="4406"/>
      </w:tblGrid>
      <w:tr>
        <w:trPr/>
        <w:tc>
          <w:tcPr>
            <w:tcW w:w="5799" w:type="dxa"/>
            <w:tcBorders/>
            <w:vAlign w:val="center"/>
          </w:tcPr>
          <w:p>
            <w:pPr>
              <w:pStyle w:val="TableContents"/>
              <w:bidi w:val="0"/>
              <w:spacing w:before="0" w:after="283"/>
              <w:jc w:val="left"/>
              <w:rPr/>
            </w:pPr>
            <w:r>
              <w:rPr/>
              <w:t>Name of Issuer</w:t>
            </w:r>
          </w:p>
        </w:tc>
        <w:tc>
          <w:tcPr>
            <w:tcW w:w="4406" w:type="dxa"/>
            <w:tcBorders/>
            <w:vAlign w:val="center"/>
          </w:tcPr>
          <w:p>
            <w:pPr>
              <w:pStyle w:val="TableContents"/>
              <w:bidi w:val="0"/>
              <w:spacing w:before="0" w:after="0"/>
              <w:jc w:val="left"/>
              <w:rPr/>
            </w:pPr>
            <w:r>
              <w:rPr/>
              <w:t>FORRESTER RESEARCH, INC.</w:t>
            </w:r>
          </w:p>
        </w:tc>
      </w:tr>
      <w:tr>
        <w:trPr/>
        <w:tc>
          <w:tcPr>
            <w:tcW w:w="5799" w:type="dxa"/>
            <w:tcBorders/>
            <w:vAlign w:val="center"/>
          </w:tcPr>
          <w:p>
            <w:pPr>
              <w:pStyle w:val="TableContents"/>
              <w:bidi w:val="0"/>
              <w:spacing w:before="0" w:after="283"/>
              <w:jc w:val="left"/>
              <w:rPr/>
            </w:pPr>
            <w:r>
              <w:rPr/>
              <w:t>SEC File Number</w:t>
            </w:r>
          </w:p>
        </w:tc>
        <w:tc>
          <w:tcPr>
            <w:tcW w:w="4406" w:type="dxa"/>
            <w:tcBorders/>
            <w:vAlign w:val="center"/>
          </w:tcPr>
          <w:p>
            <w:pPr>
              <w:pStyle w:val="TableContents"/>
              <w:bidi w:val="0"/>
              <w:spacing w:before="0" w:after="0"/>
              <w:jc w:val="left"/>
              <w:rPr/>
            </w:pPr>
            <w:r>
              <w:rPr/>
              <w:t>000-21433</w:t>
            </w:r>
          </w:p>
        </w:tc>
      </w:tr>
      <w:tr>
        <w:trPr/>
        <w:tc>
          <w:tcPr>
            <w:tcW w:w="5799" w:type="dxa"/>
            <w:tcBorders/>
            <w:vAlign w:val="center"/>
          </w:tcPr>
          <w:p>
            <w:pPr>
              <w:pStyle w:val="TableContents"/>
              <w:bidi w:val="0"/>
              <w:spacing w:before="0" w:after="283"/>
              <w:jc w:val="left"/>
              <w:rPr/>
            </w:pPr>
            <w:r>
              <w:rPr/>
              <w:t>Address of Issuer</w:t>
            </w:r>
          </w:p>
        </w:tc>
        <w:tc>
          <w:tcPr>
            <w:tcW w:w="4406" w:type="dxa"/>
            <w:tcBorders/>
            <w:vAlign w:val="center"/>
          </w:tcPr>
          <w:p>
            <w:pPr>
              <w:pStyle w:val="TableContents"/>
              <w:bidi w:val="0"/>
              <w:spacing w:before="0" w:after="0"/>
              <w:jc w:val="left"/>
              <w:rPr/>
            </w:pPr>
            <w:r>
              <w:rPr/>
              <w:t>60 Acorn Park Drive</w:t>
              <w:br/>
              <w:t>Cambridge</w:t>
              <w:br/>
              <w:t xml:space="preserve">MASSACHUSETTS </w:t>
              <w:br/>
              <w:t>02140</w:t>
            </w:r>
          </w:p>
        </w:tc>
      </w:tr>
      <w:tr>
        <w:trPr/>
        <w:tc>
          <w:tcPr>
            <w:tcW w:w="5799" w:type="dxa"/>
            <w:tcBorders/>
            <w:vAlign w:val="center"/>
          </w:tcPr>
          <w:p>
            <w:pPr>
              <w:pStyle w:val="TableContents"/>
              <w:bidi w:val="0"/>
              <w:spacing w:before="0" w:after="283"/>
              <w:jc w:val="left"/>
              <w:rPr/>
            </w:pPr>
            <w:r>
              <w:rPr/>
              <w:t>Phone</w:t>
            </w:r>
          </w:p>
        </w:tc>
        <w:tc>
          <w:tcPr>
            <w:tcW w:w="4406" w:type="dxa"/>
            <w:tcBorders/>
            <w:vAlign w:val="center"/>
          </w:tcPr>
          <w:p>
            <w:pPr>
              <w:pStyle w:val="TableContents"/>
              <w:bidi w:val="0"/>
              <w:spacing w:before="0" w:after="0"/>
              <w:jc w:val="left"/>
              <w:rPr/>
            </w:pPr>
            <w:r>
              <w:rPr/>
              <w:t>617-613-6000</w:t>
            </w:r>
          </w:p>
        </w:tc>
      </w:tr>
      <w:tr>
        <w:trPr/>
        <w:tc>
          <w:tcPr>
            <w:tcW w:w="5799" w:type="dxa"/>
            <w:tcBorders/>
            <w:vAlign w:val="center"/>
          </w:tcPr>
          <w:p>
            <w:pPr>
              <w:pStyle w:val="TableContents"/>
              <w:bidi w:val="0"/>
              <w:spacing w:before="0" w:after="283"/>
              <w:jc w:val="left"/>
              <w:rPr/>
            </w:pPr>
            <w:r>
              <w:rPr/>
              <w:t>Name of Person for Whose Account the Securities are To Be Sold</w:t>
            </w:r>
          </w:p>
        </w:tc>
        <w:tc>
          <w:tcPr>
            <w:tcW w:w="4406" w:type="dxa"/>
            <w:tcBorders/>
            <w:vAlign w:val="center"/>
          </w:tcPr>
          <w:p>
            <w:pPr>
              <w:pStyle w:val="TableContents"/>
              <w:bidi w:val="0"/>
              <w:spacing w:before="0" w:after="0"/>
              <w:jc w:val="left"/>
              <w:rPr/>
            </w:pPr>
            <w:r>
              <w:rPr/>
              <w:t>Leo Christian Finn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99" w:type="dxa"/>
            <w:tcBorders/>
            <w:vAlign w:val="center"/>
          </w:tcPr>
          <w:p>
            <w:pPr>
              <w:pStyle w:val="TableContents"/>
              <w:bidi w:val="0"/>
              <w:spacing w:before="0" w:after="283"/>
              <w:jc w:val="left"/>
              <w:rPr/>
            </w:pPr>
            <w:r>
              <w:rPr/>
              <w:t>Relationship to Issuer</w:t>
            </w:r>
          </w:p>
        </w:tc>
        <w:tc>
          <w:tcPr>
            <w:tcW w:w="44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8"/>
        <w:gridCol w:w="1707"/>
        <w:gridCol w:w="1146"/>
        <w:gridCol w:w="1353"/>
        <w:gridCol w:w="1532"/>
        <w:gridCol w:w="1554"/>
        <w:gridCol w:w="1385"/>
      </w:tblGrid>
      <w:tr>
        <w:trPr/>
        <w:tc>
          <w:tcPr>
            <w:tcW w:w="1528" w:type="dxa"/>
            <w:tcBorders/>
            <w:vAlign w:val="center"/>
          </w:tcPr>
          <w:p>
            <w:pPr>
              <w:pStyle w:val="TableHeading"/>
              <w:suppressLineNumbers/>
              <w:bidi w:val="0"/>
              <w:spacing w:before="0" w:after="283"/>
              <w:jc w:val="center"/>
              <w:rPr/>
            </w:pPr>
            <w:r>
              <w:rPr/>
              <w:t>Title of the Class of Securities To Be Sold</w:t>
            </w:r>
          </w:p>
        </w:tc>
        <w:tc>
          <w:tcPr>
            <w:tcW w:w="1707" w:type="dxa"/>
            <w:tcBorders/>
            <w:vAlign w:val="center"/>
          </w:tcPr>
          <w:p>
            <w:pPr>
              <w:pStyle w:val="TableHeading"/>
              <w:suppressLineNumbers/>
              <w:bidi w:val="0"/>
              <w:spacing w:before="0" w:after="283"/>
              <w:jc w:val="center"/>
              <w:rPr/>
            </w:pPr>
            <w:r>
              <w:rPr/>
              <w:t>Name and Address of the Broker</w:t>
            </w:r>
          </w:p>
        </w:tc>
        <w:tc>
          <w:tcPr>
            <w:tcW w:w="1146" w:type="dxa"/>
            <w:tcBorders/>
            <w:vAlign w:val="center"/>
          </w:tcPr>
          <w:p>
            <w:pPr>
              <w:pStyle w:val="TableHeading"/>
              <w:suppressLineNumbers/>
              <w:bidi w:val="0"/>
              <w:spacing w:before="0" w:after="283"/>
              <w:jc w:val="center"/>
              <w:rPr/>
            </w:pPr>
            <w:r>
              <w:rPr/>
              <w:t>Number of Shares or Other Units To Be Sold</w:t>
            </w:r>
          </w:p>
        </w:tc>
        <w:tc>
          <w:tcPr>
            <w:tcW w:w="1353" w:type="dxa"/>
            <w:tcBorders/>
            <w:vAlign w:val="center"/>
          </w:tcPr>
          <w:p>
            <w:pPr>
              <w:pStyle w:val="TableHeading"/>
              <w:suppressLineNumbers/>
              <w:bidi w:val="0"/>
              <w:spacing w:before="0" w:after="283"/>
              <w:jc w:val="center"/>
              <w:rPr/>
            </w:pPr>
            <w:r>
              <w:rPr/>
              <w:t>Aggregate Market Value</w:t>
            </w:r>
          </w:p>
        </w:tc>
        <w:tc>
          <w:tcPr>
            <w:tcW w:w="1532" w:type="dxa"/>
            <w:tcBorders/>
            <w:vAlign w:val="center"/>
          </w:tcPr>
          <w:p>
            <w:pPr>
              <w:pStyle w:val="TableHeading"/>
              <w:suppressLineNumbers/>
              <w:bidi w:val="0"/>
              <w:spacing w:before="0" w:after="283"/>
              <w:jc w:val="center"/>
              <w:rPr/>
            </w:pPr>
            <w:r>
              <w:rPr/>
              <w:t>Number of Shares or Other Units Outstanding</w:t>
            </w:r>
          </w:p>
        </w:tc>
        <w:tc>
          <w:tcPr>
            <w:tcW w:w="1554"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28" w:type="dxa"/>
            <w:tcBorders/>
            <w:vAlign w:val="center"/>
          </w:tcPr>
          <w:p>
            <w:pPr>
              <w:pStyle w:val="TableContents"/>
              <w:bidi w:val="0"/>
              <w:spacing w:before="0" w:after="283"/>
              <w:jc w:val="left"/>
              <w:rPr/>
            </w:pPr>
            <w:r>
              <w:rPr/>
              <w:t>Common Stock</w:t>
            </w:r>
          </w:p>
        </w:tc>
        <w:tc>
          <w:tcPr>
            <w:tcW w:w="1707" w:type="dxa"/>
            <w:tcBorders/>
            <w:vAlign w:val="center"/>
          </w:tcPr>
          <w:p>
            <w:pPr>
              <w:pStyle w:val="TableContents"/>
              <w:bidi w:val="0"/>
              <w:spacing w:before="0" w:after="0"/>
              <w:jc w:val="left"/>
              <w:rPr/>
            </w:pPr>
            <w:r>
              <w:rPr/>
              <w:t>Robert W. Baird &amp; Co. Incorporated</w:t>
              <w:br/>
              <w:t>777 East Wisconsin Avenue</w:t>
              <w:br/>
              <w:t>Milwaukee   WI   53202</w:t>
            </w:r>
          </w:p>
        </w:tc>
        <w:tc>
          <w:tcPr>
            <w:tcW w:w="1146" w:type="dxa"/>
            <w:tcBorders/>
            <w:vAlign w:val="center"/>
          </w:tcPr>
          <w:p>
            <w:pPr>
              <w:pStyle w:val="TableContents"/>
              <w:bidi w:val="0"/>
              <w:spacing w:before="0" w:after="283"/>
              <w:jc w:val="left"/>
              <w:rPr/>
            </w:pPr>
            <w:r>
              <w:rPr/>
              <w:t>7000</w:t>
            </w:r>
          </w:p>
        </w:tc>
        <w:tc>
          <w:tcPr>
            <w:tcW w:w="1353" w:type="dxa"/>
            <w:tcBorders/>
            <w:vAlign w:val="center"/>
          </w:tcPr>
          <w:p>
            <w:pPr>
              <w:pStyle w:val="TableContents"/>
              <w:bidi w:val="0"/>
              <w:spacing w:before="0" w:after="283"/>
              <w:jc w:val="left"/>
              <w:rPr/>
            </w:pPr>
            <w:r>
              <w:rPr/>
              <w:t>82432.70</w:t>
            </w:r>
          </w:p>
        </w:tc>
        <w:tc>
          <w:tcPr>
            <w:tcW w:w="1532" w:type="dxa"/>
            <w:tcBorders/>
            <w:vAlign w:val="center"/>
          </w:tcPr>
          <w:p>
            <w:pPr>
              <w:pStyle w:val="TableContents"/>
              <w:bidi w:val="0"/>
              <w:spacing w:before="0" w:after="283"/>
              <w:jc w:val="left"/>
              <w:rPr/>
            </w:pPr>
            <w:r>
              <w:rPr/>
              <w:t>19466815</w:t>
            </w:r>
          </w:p>
        </w:tc>
        <w:tc>
          <w:tcPr>
            <w:tcW w:w="1554" w:type="dxa"/>
            <w:tcBorders/>
            <w:vAlign w:val="center"/>
          </w:tcPr>
          <w:p>
            <w:pPr>
              <w:pStyle w:val="TableContents"/>
              <w:bidi w:val="0"/>
              <w:spacing w:before="0" w:after="283"/>
              <w:jc w:val="left"/>
              <w:rPr/>
            </w:pPr>
            <w:r>
              <w:rPr/>
              <w:t>08/20/2026</w:t>
            </w:r>
          </w:p>
        </w:tc>
        <w:tc>
          <w:tcPr>
            <w:tcW w:w="138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10/01/2022</w:t>
            </w:r>
          </w:p>
        </w:tc>
        <w:tc>
          <w:tcPr>
            <w:tcW w:w="1440" w:type="dxa"/>
            <w:tcBorders/>
            <w:vAlign w:val="center"/>
          </w:tcPr>
          <w:p>
            <w:pPr>
              <w:pStyle w:val="TableContents"/>
              <w:bidi w:val="0"/>
              <w:spacing w:before="0" w:after="283"/>
              <w:jc w:val="left"/>
              <w:rPr/>
            </w:pPr>
            <w:r>
              <w:rPr/>
              <w:t>Restricted stock units granted 10/01/2021</w:t>
            </w:r>
          </w:p>
        </w:tc>
        <w:tc>
          <w:tcPr>
            <w:tcW w:w="1160" w:type="dxa"/>
            <w:tcBorders/>
            <w:vAlign w:val="center"/>
          </w:tcPr>
          <w:p>
            <w:pPr>
              <w:pStyle w:val="TableContents"/>
              <w:bidi w:val="0"/>
              <w:spacing w:before="0" w:after="283"/>
              <w:jc w:val="left"/>
              <w:rPr/>
            </w:pPr>
            <w:r>
              <w:rPr/>
              <w:t>Forrester Research, Inc.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3562</w:t>
            </w:r>
          </w:p>
        </w:tc>
        <w:tc>
          <w:tcPr>
            <w:tcW w:w="1050" w:type="dxa"/>
            <w:tcBorders/>
            <w:vAlign w:val="center"/>
          </w:tcPr>
          <w:p>
            <w:pPr>
              <w:pStyle w:val="TableContents"/>
              <w:bidi w:val="0"/>
              <w:spacing w:before="0" w:after="283"/>
              <w:jc w:val="left"/>
              <w:rPr/>
            </w:pPr>
            <w:r>
              <w:rPr/>
              <w:t>10/01/2022</w:t>
            </w:r>
          </w:p>
        </w:tc>
        <w:tc>
          <w:tcPr>
            <w:tcW w:w="1561" w:type="dxa"/>
            <w:tcBorders/>
            <w:vAlign w:val="center"/>
          </w:tcPr>
          <w:p>
            <w:pPr>
              <w:pStyle w:val="TableContents"/>
              <w:bidi w:val="0"/>
              <w:spacing w:before="0" w:after="283"/>
              <w:jc w:val="left"/>
              <w:rPr/>
            </w:pPr>
            <w:r>
              <w:rPr/>
              <w:t>Stock-based compensation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03/01/2023</w:t>
            </w:r>
          </w:p>
        </w:tc>
        <w:tc>
          <w:tcPr>
            <w:tcW w:w="1440" w:type="dxa"/>
            <w:tcBorders/>
            <w:vAlign w:val="center"/>
          </w:tcPr>
          <w:p>
            <w:pPr>
              <w:pStyle w:val="TableContents"/>
              <w:bidi w:val="0"/>
              <w:spacing w:before="0" w:after="283"/>
              <w:jc w:val="left"/>
              <w:rPr/>
            </w:pPr>
            <w:r>
              <w:rPr/>
              <w:t>Restricted stock units granted 03/01/2022</w:t>
            </w:r>
          </w:p>
        </w:tc>
        <w:tc>
          <w:tcPr>
            <w:tcW w:w="1160" w:type="dxa"/>
            <w:tcBorders/>
            <w:vAlign w:val="center"/>
          </w:tcPr>
          <w:p>
            <w:pPr>
              <w:pStyle w:val="TableContents"/>
              <w:bidi w:val="0"/>
              <w:spacing w:before="0" w:after="283"/>
              <w:jc w:val="left"/>
              <w:rPr/>
            </w:pPr>
            <w:r>
              <w:rPr/>
              <w:t>Forrester Research, Inc.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1755</w:t>
            </w:r>
          </w:p>
        </w:tc>
        <w:tc>
          <w:tcPr>
            <w:tcW w:w="1050" w:type="dxa"/>
            <w:tcBorders/>
            <w:vAlign w:val="center"/>
          </w:tcPr>
          <w:p>
            <w:pPr>
              <w:pStyle w:val="TableContents"/>
              <w:bidi w:val="0"/>
              <w:spacing w:before="0" w:after="283"/>
              <w:jc w:val="left"/>
              <w:rPr/>
            </w:pPr>
            <w:r>
              <w:rPr/>
              <w:t>03/01/2023</w:t>
            </w:r>
          </w:p>
        </w:tc>
        <w:tc>
          <w:tcPr>
            <w:tcW w:w="1561" w:type="dxa"/>
            <w:tcBorders/>
            <w:vAlign w:val="center"/>
          </w:tcPr>
          <w:p>
            <w:pPr>
              <w:pStyle w:val="TableContents"/>
              <w:bidi w:val="0"/>
              <w:spacing w:before="0" w:after="283"/>
              <w:jc w:val="left"/>
              <w:rPr/>
            </w:pPr>
            <w:r>
              <w:rPr/>
              <w:t>Stock-based compensation</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10/01/2023</w:t>
            </w:r>
          </w:p>
        </w:tc>
        <w:tc>
          <w:tcPr>
            <w:tcW w:w="1440" w:type="dxa"/>
            <w:tcBorders/>
            <w:vAlign w:val="center"/>
          </w:tcPr>
          <w:p>
            <w:pPr>
              <w:pStyle w:val="TableContents"/>
              <w:bidi w:val="0"/>
              <w:spacing w:before="0" w:after="283"/>
              <w:jc w:val="left"/>
              <w:rPr/>
            </w:pPr>
            <w:r>
              <w:rPr/>
              <w:t>Restricted stock units granted 10/01/2021</w:t>
            </w:r>
          </w:p>
        </w:tc>
        <w:tc>
          <w:tcPr>
            <w:tcW w:w="1160" w:type="dxa"/>
            <w:tcBorders/>
            <w:vAlign w:val="center"/>
          </w:tcPr>
          <w:p>
            <w:pPr>
              <w:pStyle w:val="TableContents"/>
              <w:bidi w:val="0"/>
              <w:spacing w:before="0" w:after="283"/>
              <w:jc w:val="left"/>
              <w:rPr/>
            </w:pPr>
            <w:r>
              <w:rPr/>
              <w:t>Forrester Research, Inc.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1683</w:t>
            </w:r>
          </w:p>
        </w:tc>
        <w:tc>
          <w:tcPr>
            <w:tcW w:w="1050" w:type="dxa"/>
            <w:tcBorders/>
            <w:vAlign w:val="center"/>
          </w:tcPr>
          <w:p>
            <w:pPr>
              <w:pStyle w:val="TableContents"/>
              <w:bidi w:val="0"/>
              <w:spacing w:before="0" w:after="283"/>
              <w:jc w:val="left"/>
              <w:rPr/>
            </w:pPr>
            <w:r>
              <w:rPr/>
              <w:t>10/01/2023</w:t>
            </w:r>
          </w:p>
        </w:tc>
        <w:tc>
          <w:tcPr>
            <w:tcW w:w="1561" w:type="dxa"/>
            <w:tcBorders/>
            <w:vAlign w:val="center"/>
          </w:tcPr>
          <w:p>
            <w:pPr>
              <w:pStyle w:val="TableContents"/>
              <w:bidi w:val="0"/>
              <w:spacing w:before="0" w:after="283"/>
              <w:jc w:val="left"/>
              <w:rPr/>
            </w:pPr>
            <w:r>
              <w:rPr/>
              <w:t>Stock-based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631"/>
        <w:gridCol w:w="7574"/>
      </w:tblGrid>
      <w:tr>
        <w:trPr/>
        <w:tc>
          <w:tcPr>
            <w:tcW w:w="2631" w:type="dxa"/>
            <w:tcBorders/>
            <w:vAlign w:val="center"/>
          </w:tcPr>
          <w:p>
            <w:pPr>
              <w:pStyle w:val="TableContents"/>
              <w:bidi w:val="0"/>
              <w:spacing w:before="0" w:after="283"/>
              <w:jc w:val="left"/>
              <w:rPr/>
            </w:pPr>
            <w:r>
              <w:rPr/>
              <w:t>Remarks</w:t>
            </w:r>
          </w:p>
        </w:tc>
        <w:tc>
          <w:tcPr>
            <w:tcW w:w="7574" w:type="dxa"/>
            <w:tcBorders/>
            <w:vAlign w:val="center"/>
          </w:tcPr>
          <w:p>
            <w:pPr>
              <w:pStyle w:val="TableContents"/>
              <w:bidi w:val="0"/>
              <w:spacing w:before="0" w:after="283"/>
              <w:jc w:val="left"/>
              <w:rPr>
                <w:sz w:val="4"/>
                <w:szCs w:val="4"/>
              </w:rPr>
            </w:pPr>
            <w:r>
              <w:rPr>
                <w:sz w:val="4"/>
                <w:szCs w:val="4"/>
              </w:rPr>
            </w:r>
          </w:p>
        </w:tc>
      </w:tr>
      <w:tr>
        <w:trPr/>
        <w:tc>
          <w:tcPr>
            <w:tcW w:w="2631" w:type="dxa"/>
            <w:tcBorders/>
            <w:vAlign w:val="center"/>
          </w:tcPr>
          <w:p>
            <w:pPr>
              <w:pStyle w:val="TableContents"/>
              <w:bidi w:val="0"/>
              <w:spacing w:before="0" w:after="283"/>
              <w:jc w:val="left"/>
              <w:rPr/>
            </w:pPr>
            <w:r>
              <w:rPr/>
              <w:t>Date of Notice</w:t>
            </w:r>
          </w:p>
        </w:tc>
        <w:tc>
          <w:tcPr>
            <w:tcW w:w="7574"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31" w:type="dxa"/>
            <w:tcBorders/>
            <w:vAlign w:val="center"/>
          </w:tcPr>
          <w:p>
            <w:pPr>
              <w:pStyle w:val="TableContents"/>
              <w:bidi w:val="0"/>
              <w:spacing w:before="0" w:after="283"/>
              <w:jc w:val="left"/>
              <w:rPr/>
            </w:pPr>
            <w:r>
              <w:rPr/>
              <w:t>Signature</w:t>
            </w:r>
          </w:p>
        </w:tc>
        <w:tc>
          <w:tcPr>
            <w:tcW w:w="7574" w:type="dxa"/>
            <w:tcBorders/>
            <w:vAlign w:val="center"/>
          </w:tcPr>
          <w:p>
            <w:pPr>
              <w:pStyle w:val="TableContents"/>
              <w:bidi w:val="0"/>
              <w:spacing w:before="0" w:after="0"/>
              <w:jc w:val="left"/>
              <w:rPr/>
            </w:pPr>
            <w:r>
              <w:rPr/>
              <w:t>Ryan Darrah, as attorney-in-fact for Leo Christian Finn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480"/>
        <w:jc w:val="center"/>
        <w:rPr>
          <w:rFonts w:ascii="Times New Roman" w:hAnsi="Times New Roman"/>
          <w:b/>
          <w:color w:val="000000"/>
          <w:sz w:val="24"/>
        </w:rPr>
      </w:pPr>
      <w:bookmarkStart w:id="16" w:name="forr-ex24.htm"/>
      <w:bookmarkStart w:id="17" w:name="ksforrex24"/>
      <w:bookmarkEnd w:id="16"/>
      <w:bookmarkEnd w:id="17"/>
      <w:r>
        <w:rPr>
          <w:rFonts w:ascii="Times New Roman" w:hAnsi="Times New Roman"/>
          <w:b/>
          <w:color w:val="000000"/>
          <w:sz w:val="24"/>
        </w:rPr>
        <w:t>POWER OF ATTORNEY</w:t>
      </w:r>
      <w:r>
        <w:br w:type="page"/>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hereby constitute and appoint each of Ryan Darrah, Maite Garcia and Jed Rosenkrantz signing singly, my true and lawful attorney-in-fact 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execute for and on my behalf, in my capacity as an affiliate of Forrester Research, Inc. (the "Company"), Forms 144 in accordance with Rule 144 of the Securities Act of 1933 and the rules thereunder;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do and perform any and all acts for and on my behalf that may be necessary or desirable to complete and execute any such Form 144 and timely file such form with the United States Securities and Exchange Commission and any other authority as required by law;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take any other action of any type whatsoever in connection with the foregoing which, in the opinion of such attorney-in-fact, may be to my benefit, in my best interest, or that I am legally required to do, it being understood that the documents executed by such attorney-in-fact on my behalf pursuant to this Power of Attorney shall be in such form and shall contain such terms and conditions as such attorney-in-fact may approve in such attorney-in-fact's discretion.</w:t>
      </w:r>
    </w:p>
    <w:p>
      <w:pPr>
        <w:pStyle w:val="TextBody"/>
        <w:bidi w:val="0"/>
        <w:spacing w:before="0" w:after="240"/>
        <w:jc w:val="left"/>
        <w:rPr>
          <w:rFonts w:ascii="Times New Roman" w:hAnsi="Times New Roman"/>
          <w:sz w:val="20"/>
        </w:rPr>
      </w:pPr>
      <w:r>
        <w:rPr>
          <w:rFonts w:ascii="Times New Roman" w:hAnsi="Times New Roman"/>
          <w:color w:val="000000"/>
          <w:sz w:val="23"/>
        </w:rPr>
        <w:t xml:space="preserve">I </w:t>
      </w:r>
      <w:r>
        <w:rPr>
          <w:rFonts w:ascii="Times New Roman" w:hAnsi="Times New Roman"/>
          <w:color w:val="000000"/>
          <w:sz w:val="24"/>
        </w:rPr>
        <w:t>hereby</w:t>
      </w:r>
      <w:r>
        <w:rPr>
          <w:rFonts w:ascii="Times New Roman" w:hAnsi="Times New Roman"/>
          <w:color w:val="000000"/>
          <w:sz w:val="20"/>
        </w:rPr>
        <w:t xml:space="preserve"> </w:t>
      </w:r>
      <w:r>
        <w:rPr>
          <w:rFonts w:ascii="Times New Roman" w:hAnsi="Times New Roman"/>
          <w:color w:val="000000"/>
          <w:sz w:val="23"/>
        </w:rPr>
        <w:t>grant to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I acknowledge that the attorney-in-fact, in serving in such capacity at my request, are not assuming, nor is the Company assuming, any of my responsibilities to comply with Rule 144 of the Securities Act of 1933.</w:t>
      </w:r>
    </w:p>
    <w:p>
      <w:pPr>
        <w:pStyle w:val="TextBody"/>
        <w:bidi w:val="0"/>
        <w:spacing w:before="0" w:after="240"/>
        <w:jc w:val="left"/>
        <w:rPr>
          <w:rFonts w:ascii="Times New Roman" w:hAnsi="Times New Roman"/>
          <w:sz w:val="20"/>
        </w:rPr>
      </w:pPr>
      <w:r>
        <w:rPr>
          <w:rFonts w:ascii="Times New Roman" w:hAnsi="Times New Roman"/>
          <w:color w:val="000000"/>
          <w:sz w:val="24"/>
        </w:rPr>
        <w:t>This</w:t>
      </w:r>
      <w:r>
        <w:rPr>
          <w:rFonts w:ascii="Times New Roman" w:hAnsi="Times New Roman"/>
          <w:color w:val="000000"/>
          <w:sz w:val="20"/>
        </w:rPr>
        <w:t xml:space="preserve"> </w:t>
      </w:r>
      <w:r>
        <w:rPr>
          <w:rFonts w:ascii="Times New Roman" w:hAnsi="Times New Roman"/>
          <w:color w:val="000000"/>
          <w:sz w:val="23"/>
        </w:rPr>
        <w:t>Power of Attorney shall remain in full force and effect until I am no longer required to file Forms 144 with respect to my transactions in Company securities, unless I earlier revoke it in a signed writing delivered to the attorneys-in-fact. Upon signature of this Power of Attorney, I hereby revoke all previous powers of attorney granted concerning the subject matter herein.</w:t>
      </w:r>
    </w:p>
    <w:p>
      <w:pPr>
        <w:pStyle w:val="TextBody"/>
        <w:bidi w:val="0"/>
        <w:spacing w:before="0" w:after="240"/>
        <w:jc w:val="left"/>
        <w:rPr>
          <w:rFonts w:ascii="Times New Roman" w:hAnsi="Times New Roman"/>
          <w:sz w:val="20"/>
        </w:rPr>
      </w:pPr>
      <w:r>
        <w:rPr>
          <w:rFonts w:ascii="Times New Roman" w:hAnsi="Times New Roman"/>
          <w:color w:val="000000"/>
          <w:sz w:val="23"/>
        </w:rPr>
        <w:t>IN WITNESS WHEREOF, I have caused this Power of Attorney to be executed as of this 20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3"/>
        </w:rPr>
        <w:t>day of August, 2026.</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Signature</w:t>
      </w:r>
    </w:p>
    <w:p>
      <w:pPr>
        <w:pStyle w:val="TextBody"/>
        <w:bidi w:val="0"/>
        <w:jc w:val="left"/>
        <w:rPr/>
      </w:pPr>
      <w:r>
        <w:rPr/>
        <w:t> </w:t>
      </w:r>
    </w:p>
    <w:p>
      <w:pPr>
        <w:pStyle w:val="TextBody"/>
        <w:bidi w:val="0"/>
        <w:jc w:val="left"/>
        <w:rPr>
          <w:rFonts w:ascii="Times New Roman" w:hAnsi="Times New Roman"/>
          <w:color w:val="000000"/>
          <w:sz w:val="23"/>
        </w:rPr>
      </w:pPr>
      <w:r>
        <w:rPr>
          <w:rFonts w:ascii="Times New Roman" w:hAnsi="Times New Roman"/>
          <w:color w:val="000000"/>
          <w:sz w:val="23"/>
        </w:rPr>
        <w:t>/s/ L. Christian Finn</w:t>
      </w:r>
    </w:p>
    <w:p>
      <w:pPr>
        <w:pStyle w:val="TextBody"/>
        <w:bidi w:val="0"/>
        <w:jc w:val="left"/>
        <w:rPr/>
      </w:pPr>
      <w:r>
        <w:rPr/>
        <w:t> </w:t>
      </w:r>
    </w:p>
    <w:p>
      <w:pPr>
        <w:pStyle w:val="TextBody"/>
        <w:bidi w:val="0"/>
        <w:jc w:val="left"/>
        <w:rPr>
          <w:rFonts w:ascii="Times New Roman" w:hAnsi="Times New Roman"/>
          <w:color w:val="000000"/>
          <w:sz w:val="23"/>
        </w:rPr>
      </w:pPr>
      <w:r>
        <w:rPr>
          <w:rFonts w:ascii="Times New Roman" w:hAnsi="Times New Roman"/>
          <w:color w:val="000000"/>
          <w:sz w:val="23"/>
        </w:rPr>
        <w:t>L. Christian Finn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1030</Words>
  <Characters>5255</Characters>
  <CharactersWithSpaces>6208</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